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43DA6" w:rsidRDefault="00D95D19">
      <w:pPr>
        <w:jc w:val="center"/>
        <w:rPr>
          <w:b/>
          <w:bCs/>
          <w:color w:val="000000"/>
          <w:sz w:val="22"/>
          <w:szCs w:val="22"/>
        </w:rPr>
      </w:pPr>
      <w:bookmarkStart w:id="0" w:name="_GoBack"/>
      <w:bookmarkEnd w:id="0"/>
      <w:r>
        <w:rPr>
          <w:b/>
          <w:bCs/>
          <w:color w:val="000000"/>
          <w:sz w:val="22"/>
          <w:szCs w:val="22"/>
        </w:rPr>
        <w:t xml:space="preserve">PONENCIA PROYECTO DE ACUERDO No. </w:t>
      </w:r>
      <w:r>
        <w:rPr>
          <w:b/>
          <w:bCs/>
          <w:sz w:val="22"/>
          <w:szCs w:val="22"/>
        </w:rPr>
        <w:t>1004</w:t>
      </w:r>
      <w:r>
        <w:rPr>
          <w:b/>
          <w:bCs/>
          <w:color w:val="000000"/>
          <w:sz w:val="22"/>
          <w:szCs w:val="22"/>
        </w:rPr>
        <w:t xml:space="preserve"> DE 2024</w:t>
      </w:r>
    </w:p>
    <w:p w:rsidR="00743DA6" w:rsidRDefault="00743DA6">
      <w:pPr>
        <w:jc w:val="center"/>
        <w:rPr>
          <w:color w:val="000000"/>
          <w:sz w:val="22"/>
          <w:szCs w:val="22"/>
        </w:rPr>
      </w:pPr>
    </w:p>
    <w:p w:rsidR="00743DA6" w:rsidRDefault="00D95D19">
      <w:pPr>
        <w:jc w:val="center"/>
        <w:rPr>
          <w:b/>
          <w:bCs/>
          <w:color w:val="000000"/>
          <w:sz w:val="22"/>
          <w:szCs w:val="22"/>
        </w:rPr>
      </w:pPr>
      <w:r>
        <w:rPr>
          <w:b/>
          <w:bCs/>
          <w:sz w:val="22"/>
          <w:szCs w:val="22"/>
        </w:rPr>
        <w:t>“POR EL CUAL SE EXPIDE EL PRESUPUESTO ANUAL DE RENTAS E INGRESOS Y DE GASTOS E INVERSIONES DE BOGOTÁ, DISTRITO CAPITAL PARA LA VIGENCIA FISCAL COMPRENDIDA ENTRE EL 1 DE ENERO Y EL 31 DE DICIEMBRE DE 2026 Y SE DICTAN OTRAS DISPOSICIONES”.</w:t>
      </w:r>
    </w:p>
    <w:p w:rsidR="00743DA6" w:rsidRDefault="00743DA6">
      <w:pPr>
        <w:jc w:val="center"/>
        <w:rPr>
          <w:b/>
          <w:bCs/>
          <w:color w:val="000000"/>
          <w:sz w:val="22"/>
          <w:szCs w:val="22"/>
        </w:rPr>
      </w:pPr>
    </w:p>
    <w:p w:rsidR="00743DA6" w:rsidRDefault="00743DA6">
      <w:pPr>
        <w:rPr>
          <w:b/>
          <w:bCs/>
          <w:color w:val="000000"/>
          <w:sz w:val="22"/>
          <w:szCs w:val="22"/>
        </w:rPr>
      </w:pPr>
    </w:p>
    <w:p w:rsidR="00743DA6" w:rsidRDefault="00D95D19">
      <w:pPr>
        <w:numPr>
          <w:ilvl w:val="0"/>
          <w:numId w:val="28"/>
        </w:numPr>
        <w:pBdr>
          <w:top w:val="nil"/>
          <w:left w:val="nil"/>
          <w:bottom w:val="nil"/>
          <w:right w:val="nil"/>
          <w:between w:val="nil"/>
        </w:pBdr>
        <w:rPr>
          <w:b/>
          <w:bCs/>
          <w:color w:val="000000"/>
          <w:sz w:val="22"/>
          <w:szCs w:val="22"/>
        </w:rPr>
      </w:pPr>
      <w:r>
        <w:rPr>
          <w:b/>
          <w:bCs/>
          <w:color w:val="000000"/>
          <w:sz w:val="22"/>
          <w:szCs w:val="22"/>
        </w:rPr>
        <w:t xml:space="preserve">OBJETO DEL PROYECTO </w:t>
      </w:r>
    </w:p>
    <w:p w:rsidR="00743DA6" w:rsidRDefault="00743DA6">
      <w:pPr>
        <w:pBdr>
          <w:top w:val="nil"/>
          <w:left w:val="nil"/>
          <w:bottom w:val="nil"/>
          <w:right w:val="nil"/>
          <w:between w:val="nil"/>
        </w:pBdr>
        <w:ind w:left="1004"/>
        <w:rPr>
          <w:b/>
          <w:bCs/>
          <w:color w:val="000000"/>
          <w:sz w:val="22"/>
          <w:szCs w:val="22"/>
        </w:rPr>
      </w:pPr>
    </w:p>
    <w:p w:rsidR="00743DA6" w:rsidRDefault="00D95D19">
      <w:pPr>
        <w:jc w:val="both"/>
        <w:rPr>
          <w:color w:val="000000"/>
          <w:sz w:val="22"/>
          <w:szCs w:val="22"/>
        </w:rPr>
      </w:pPr>
      <w:r>
        <w:rPr>
          <w:color w:val="000000"/>
          <w:sz w:val="22"/>
          <w:szCs w:val="22"/>
        </w:rPr>
        <w:t xml:space="preserve">Esta iniciativa tiene como objetivo poner a consideración del Concejo de Bogotá, el presupuesto tanto de ingresos y rentas como el presupuesto de gastos e inversiones para garantizar el funcionamiento del Distrito Capital y dar cumplimiento a los objetivos del Plan Distrital de Desarrollo “Bogotá Camina Segura”, para la vigencia fiscal comprendida entre el 1 de enero y el 31 de diciembre de 2026. </w:t>
      </w:r>
    </w:p>
    <w:p w:rsidR="00743DA6" w:rsidRDefault="00743DA6">
      <w:pPr>
        <w:jc w:val="both"/>
        <w:rPr>
          <w:sz w:val="22"/>
          <w:szCs w:val="22"/>
        </w:rPr>
      </w:pPr>
    </w:p>
    <w:p w:rsidR="00743DA6" w:rsidRDefault="00743DA6">
      <w:pPr>
        <w:ind w:left="360"/>
        <w:jc w:val="both"/>
        <w:rPr>
          <w:sz w:val="22"/>
          <w:szCs w:val="22"/>
        </w:rPr>
      </w:pPr>
    </w:p>
    <w:p w:rsidR="00743DA6" w:rsidRDefault="00D95D19">
      <w:pPr>
        <w:numPr>
          <w:ilvl w:val="0"/>
          <w:numId w:val="28"/>
        </w:numPr>
        <w:pBdr>
          <w:top w:val="nil"/>
          <w:left w:val="nil"/>
          <w:bottom w:val="nil"/>
          <w:right w:val="nil"/>
          <w:between w:val="nil"/>
        </w:pBdr>
        <w:rPr>
          <w:b/>
          <w:bCs/>
          <w:color w:val="000000"/>
          <w:sz w:val="22"/>
          <w:szCs w:val="22"/>
        </w:rPr>
      </w:pPr>
      <w:r>
        <w:rPr>
          <w:b/>
          <w:bCs/>
          <w:color w:val="000000"/>
          <w:sz w:val="22"/>
          <w:szCs w:val="22"/>
        </w:rPr>
        <w:t xml:space="preserve">SOBRE EL PRESUPUESTO </w:t>
      </w:r>
    </w:p>
    <w:p w:rsidR="00743DA6" w:rsidRDefault="00743DA6">
      <w:pPr>
        <w:rPr>
          <w:sz w:val="22"/>
          <w:szCs w:val="22"/>
        </w:rPr>
      </w:pPr>
    </w:p>
    <w:p w:rsidR="00743DA6" w:rsidRDefault="00D95D19">
      <w:pPr>
        <w:jc w:val="both"/>
        <w:rPr>
          <w:sz w:val="22"/>
          <w:szCs w:val="22"/>
        </w:rPr>
      </w:pPr>
      <w:r>
        <w:rPr>
          <w:sz w:val="22"/>
          <w:szCs w:val="22"/>
        </w:rPr>
        <w:t>La Administración Distrital, como autora del proyecto de acuerdo, presenta su intención de recaudo, gasto e inversión con el fin de dar cumplimiento de primera mano a los fines esenciales del Estado en los términos de la Constitución Política Nacional, así como la estructura de apropiaciones con la que pretende dar cumplimiento a los planes, programas, metas y proyectos que componen el Plan Distrital de Desarrollo “Bogotá Camina Segura” 2024-2027, en consideración a que la vigencia fiscal 2025 es la primera vigencia de ejecución completa en la anualidad del plan de desarrollo aprobado en el segundo trimestre de 2024. El valor traído a discusión en el concejo de Bogotá es de CUARENTA BILLONES CUATROCIENTOS MIL CIENTO TREINTA Y TRES MILLONES CIENTO OCHO MIL PESOS M/CTE ($40.400.133.108.000) sobre los que se desarrolla el análisis de esta ponencia.</w:t>
      </w:r>
    </w:p>
    <w:p w:rsidR="00743DA6" w:rsidRDefault="00743DA6">
      <w:pPr>
        <w:jc w:val="both"/>
        <w:rPr>
          <w:sz w:val="22"/>
          <w:szCs w:val="22"/>
        </w:rPr>
      </w:pPr>
    </w:p>
    <w:p w:rsidR="00743DA6" w:rsidRDefault="00D95D19">
      <w:pPr>
        <w:jc w:val="both"/>
        <w:rPr>
          <w:sz w:val="22"/>
          <w:szCs w:val="22"/>
        </w:rPr>
      </w:pPr>
      <w:r>
        <w:rPr>
          <w:sz w:val="22"/>
          <w:szCs w:val="22"/>
        </w:rPr>
        <w:t xml:space="preserve">Con el fin de analizar los elementos esenciales del presupuesto presentado, separaremos este análisis en tres partes: la primera sobre las generalidades del presupuesto y su importancia; enseguida un análisis obre el ingreso y finalmente las inversiones y gastos, identificando no sólo los elementos presentados sino las expectativas a partir de los resultados obtenidos en las inversiones pasadas. </w:t>
      </w:r>
    </w:p>
    <w:p w:rsidR="00743DA6" w:rsidRDefault="00743DA6">
      <w:pPr>
        <w:jc w:val="both"/>
        <w:rPr>
          <w:b/>
          <w:bCs/>
          <w:sz w:val="22"/>
          <w:szCs w:val="22"/>
        </w:rPr>
      </w:pPr>
    </w:p>
    <w:p w:rsidR="00743DA6" w:rsidRDefault="00D95D19">
      <w:pPr>
        <w:jc w:val="both"/>
        <w:rPr>
          <w:b/>
          <w:bCs/>
          <w:sz w:val="22"/>
          <w:szCs w:val="22"/>
        </w:rPr>
      </w:pPr>
      <w:r>
        <w:rPr>
          <w:b/>
          <w:bCs/>
          <w:sz w:val="22"/>
          <w:szCs w:val="22"/>
        </w:rPr>
        <w:t xml:space="preserve">FUNDAMENTOS DE LA PONENCIA </w:t>
      </w:r>
    </w:p>
    <w:p w:rsidR="00743DA6" w:rsidRDefault="00743DA6">
      <w:pPr>
        <w:jc w:val="both"/>
        <w:rPr>
          <w:b/>
          <w:bCs/>
          <w:sz w:val="22"/>
          <w:szCs w:val="22"/>
        </w:rPr>
      </w:pPr>
    </w:p>
    <w:p w:rsidR="0043135B" w:rsidRDefault="0043135B" w:rsidP="0043135B">
      <w:pPr>
        <w:jc w:val="both"/>
      </w:pPr>
      <w:r>
        <w:rPr>
          <w:color w:val="000000"/>
        </w:rPr>
        <w:t xml:space="preserve">El presupuesto de la ciudad es </w:t>
      </w:r>
      <w:r>
        <w:t>una de</w:t>
      </w:r>
      <w:r>
        <w:rPr>
          <w:color w:val="000000"/>
        </w:rPr>
        <w:t xml:space="preserve"> las principales herramientas que tiene el Concejo de Bogotá para hacer seguimiento a las inversiones que se han programado en los Planes de Desarrollo, el Plan de Ordenamiento Territorial y las políticas públicas que se implementan en la ciudad. A través de la gestión de los recursos, es posible determinar en dónde se están cumpliendo los objetivos </w:t>
      </w:r>
      <w:r>
        <w:rPr>
          <w:color w:val="000000"/>
        </w:rPr>
        <w:lastRenderedPageBreak/>
        <w:t>trazados en el corto, mediano y largo plazo, identificando los avances en los proyectos estratégicos y en las necesidades ciudadanas. </w:t>
      </w:r>
    </w:p>
    <w:p w:rsidR="0043135B" w:rsidRDefault="0043135B" w:rsidP="0043135B"/>
    <w:p w:rsidR="0043135B" w:rsidRDefault="0043135B" w:rsidP="0043135B">
      <w:pPr>
        <w:jc w:val="both"/>
      </w:pPr>
      <w:r>
        <w:t>Desde la perspectiva en la que nosotras leemos la realidad, el presupuesto público debe poder reflejar la proyección y la materialización de un enfoque de transformación de los problemas principales de la sociedad a la que está orientado, impulsando reconfiguraciones en las relaciones de producción, poniendo al centro el bienestar social y   el desarrollo sostenible y los ecosistemas de vida, criterios de redistribución de la riqueza, concatenación de economías de escala que comprendan la realidad mayoritaria y el potencial de las pequeñas y microeconomías, la generación del empleo y oportunidades, el gasto público con función reguladora y compensatoria. Por otra parte, su construcción y seguimiento deben estar pensados para la transparencia y el control democrático de parte de la ciudadanía. La eficiencia o el ahorro a rajatabla no necesariamente cumplen lo anterior. De ahí, una diferencia importante con lo que ha presentado la Administración Distrital en su presupuesto para el año 2026, así como lo expresamos también en el momento de la construcción del Plan Distrital de Desarrollo del actual periodo.</w:t>
      </w:r>
    </w:p>
    <w:p w:rsidR="0043135B" w:rsidRDefault="0043135B" w:rsidP="0043135B">
      <w:pPr>
        <w:jc w:val="both"/>
      </w:pPr>
    </w:p>
    <w:p w:rsidR="0043135B" w:rsidRDefault="0043135B" w:rsidP="0043135B">
      <w:pPr>
        <w:jc w:val="both"/>
      </w:pPr>
      <w:r>
        <w:t>En la exposición de motivos, la administración presenta la “austeridad” casi exclusivamente como contención global del gasto –un aumento de solo 1,1 % en funcionamiento y una inversión de $32,6 billones “en un marco de austeridad y uso eficiente”–, pero desde el modelo de ciudad que defendemos ese enfoque es técnicamente problemático porque no distingue qué gasto se frena ni a quién termina afectando. Cuando la austeridad se traduce en recortes generalizados de transferencias y gasto social, puede significar menos capacidad para garantizar derechos laborales, sociales y servicios a la población, mientras se mantienen intactos rubros opacos como sobrecostos contractuales, consultorías innecesarias, publicidad oficial o esquemas de endeudamiento que benefician al sistema financiero. Una verdadera austeridad republicana no es apretar el cinturón de la ciudad en abstracto, sino recortar de manera drástica el gasto suntuario (viáticos, privilegios, burocracia innecesaria, contratos de papel), renegociar condiciones lesivas de la deuda y priorizar cada peso hacia bienes públicos esenciales priorizando los barrios populares: transporte digno, salud, educación, cuidado, cultura y seguridad humana. Es decir, más que un discurso genérico de “uso eficiente de los recursos”, se requiere una reorientación explícita del presupuesto contra el despilfarro y las rentas privadas, y a favor de las mayorías que hoy cargan con el costo real de esa supuesta austeridad.</w:t>
      </w:r>
    </w:p>
    <w:p w:rsidR="0043135B" w:rsidRDefault="0043135B" w:rsidP="0043135B">
      <w:pPr>
        <w:jc w:val="both"/>
      </w:pPr>
    </w:p>
    <w:p w:rsidR="0043135B" w:rsidRDefault="0043135B" w:rsidP="0043135B">
      <w:pPr>
        <w:numPr>
          <w:ilvl w:val="0"/>
          <w:numId w:val="65"/>
        </w:numPr>
        <w:jc w:val="both"/>
        <w:rPr>
          <w:b/>
          <w:bCs/>
        </w:rPr>
      </w:pPr>
      <w:r>
        <w:rPr>
          <w:b/>
          <w:bCs/>
        </w:rPr>
        <w:t>Modelo y visión de ciudad</w:t>
      </w:r>
    </w:p>
    <w:p w:rsidR="0043135B" w:rsidRDefault="0043135B" w:rsidP="0043135B">
      <w:pPr>
        <w:ind w:left="720"/>
        <w:jc w:val="both"/>
      </w:pPr>
    </w:p>
    <w:p w:rsidR="0043135B" w:rsidRDefault="0043135B" w:rsidP="0043135B">
      <w:pPr>
        <w:jc w:val="both"/>
      </w:pPr>
      <w:r>
        <w:lastRenderedPageBreak/>
        <w:t>Es claro que existen distintas perspectivas de ciudad que hacen que nuestras lecturas prioricen asuntos, sectores y enfoques distintos a los que hace la actual Administración. Incluso frente a los asuntos que aparecen - en las mediciones públicas y encuestas - como principales problemas identificados por la ciudadanía, la perspectiva frente a qué hacer para transformarlos, es distinta. Un ejemplo, es la seguridad, donde consideramos necesario un enfoque humano que contemple estrategias  integrales e intersectoriales, situadas territorialmente, basadas en  la garantía de derechos, la prevención, el cuidado, fortalecimiento de la justicia, la generación de empleo e ingresos,  complementariamente con el fortalecimiento de una política criminal y económica que permita debilitar estructuras criminales y transformar economías ilegales; en cambio, la perspectiva de la “Bogotá camina segura” apunta más a visiones de control y autoridad unifocal, enfoque reactivo, presencia y centralidad policial, rol ajeno de la ciudadanía lo cual suele derivar en dificultades para la generación de confianza, entre otros.</w:t>
      </w:r>
    </w:p>
    <w:p w:rsidR="0043135B" w:rsidRDefault="0043135B" w:rsidP="0043135B">
      <w:pPr>
        <w:jc w:val="both"/>
      </w:pPr>
      <w:r>
        <w:t xml:space="preserve">De la misma manera y de forma ilustrativa, ocurre con el tema de Movilidad, otra de las prioridades de nuestra ciudadanía. Mientras gran parte de los déficit y necesidades de la malla vial se concentran en los territorios de la media luna sur, la prioridad de vías para la Administración está localizada en el norte y centro ampliado y solamente en algunas localidades y proyectos de éste.i El asunto estructural del incumplimniento y los retrasos en las obras viales, requiere un plan de choque en el que hemos insistido y aún no hay, haciendo que la ciudad pierda grandes recursos en reinversiones;  la malla vial local y de la ruralidad - para la cual se dejaron recursos especiales en el presupuesto del año pasado - no presentan avances significativos. De la misma manera, un asunto tan central como el costo del transporte público aumenta de manera significativa - 250 pesos por pasaje - recargando sobre la ciudadanía el peso del sostenimiento y la regulación del tamaño del Fondo de Estabilización Tarifaria, sin considerar o intentar buscar en las ganancias de los operadores alternativas para disminuir la presión sobre la gente. Mientras tanto, las frecuencias y la calidad del servicio disminuyen. El modelo de operadores privados se extrapola a los cables aéreos de la ciudad, sin considerar la necesidad de fortalecimiento de actores tan importantes para Bogotá, como el operador público La Rolita. También observamos desfinanciación en la infraestructura y la promoción de la movilidad alternativa y sostenible. Avanza el Metro, que sin duda es importante, pero con sobrecostos.  Sin duda, este enfoque no es el mejor, ni es sostenible, sin embargo, la propuesta de presupuesto 2026 lo reafirma. </w:t>
      </w:r>
    </w:p>
    <w:p w:rsidR="0043135B" w:rsidRDefault="0043135B" w:rsidP="0043135B">
      <w:pPr>
        <w:jc w:val="both"/>
      </w:pPr>
      <w:r>
        <w:t xml:space="preserve">Los temas de mujer y género son una inmensa preocupación para nosotras, mientras aumenta el número de feminicidios (56 a Octubre 2025) y de violencias intrafamiliares - más de 150.000 casos registrados, la Administración plantea disminuir los recursos para la Secretaría Distrital de la Mujer. Sin duda, nosotras creemos que al contrario, esta realidad crítica debería implicar una centralidad del </w:t>
      </w:r>
      <w:r>
        <w:lastRenderedPageBreak/>
        <w:t xml:space="preserve">tema en la agenda de ciudad y una estrategia intersectorial ambiciosa que enfrente la situación. </w:t>
      </w:r>
    </w:p>
    <w:p w:rsidR="0043135B" w:rsidRDefault="0043135B" w:rsidP="0043135B">
      <w:pPr>
        <w:jc w:val="both"/>
      </w:pPr>
      <w:r>
        <w:t xml:space="preserve">La participación sufre de un recorte transversal, como si se hubiera emitido una orientación central, de minimización de las capacidades de las entidades para promover e impulsar, todas las instituciones la recortan y la entidad encargada de dirigirla, tiene menos presupuesto que en administraciones anteriores. De la misma manera, el lugar y rol de la organización comunitaria y social, de las iniciativas ciudadanas y las instancias de participación - un tejido plural que es potencia de ciudad - está disminuido, cada vez menos incidente y con varias de sus principales herramientas de planeación y decisión precarizadas, una muestra: presupuestos participativos. </w:t>
      </w:r>
    </w:p>
    <w:p w:rsidR="0043135B" w:rsidRDefault="0043135B" w:rsidP="0043135B">
      <w:pPr>
        <w:jc w:val="both"/>
      </w:pPr>
      <w:r>
        <w:t>La línea de reducción de vulnerabilidad frente a riesgos climáticos evidencia una pérdida clara de prioridad dentro de la política ambiental distrital. Aunque esta actividad debería ser uno de los pilares de la adaptación al cambio climático, durante la vigencia anterior presentó dificultades significativas de ejecución, lo que ya limitó su capacidad para desarrollar acciones frente a incendios, inundaciones y otros eventos extremos. En lugar de corregir este rezago y fortalecer la respuesta institucional, la asignación para 2026 disminuye de forma drástica. Con ello, una de las funciones más urgentes para enfrentar los impactos climáticos de la ciudad queda debilitada tanto en términos operativos como presupuestales, reduciendo la capacidad institucional para anticipar riesgos y proteger a la población más vulnerable.</w:t>
      </w:r>
    </w:p>
    <w:p w:rsidR="0043135B" w:rsidRDefault="0043135B" w:rsidP="0043135B">
      <w:pPr>
        <w:jc w:val="both"/>
      </w:pPr>
    </w:p>
    <w:p w:rsidR="0043135B" w:rsidRDefault="0043135B" w:rsidP="0043135B">
      <w:pPr>
        <w:jc w:val="both"/>
      </w:pPr>
      <w:r>
        <w:t>En materia de calidad del aire, las actividades relacionadas con la elaboración de informes, el control de emisiones y el monitoreo de fuentes fijas y móviles también presentan un retroceso simultáneo en ejecución y financiamiento. El sistema de información y vigilancia, que es indispensable para orientar decisiones de salud pública y activar medidas de emergencia, llega a 2026 con menos recursos y con una capacidad operativa disminuida. De esta manera, se limita la posibilidad de sostener un monitoreo riguroso, de verificar el comportamiento de fuentes contaminantes y de responder con agilidad a episodios críticos de contaminación atmosférica.</w:t>
      </w:r>
    </w:p>
    <w:p w:rsidR="0043135B" w:rsidRDefault="0043135B" w:rsidP="0043135B">
      <w:pPr>
        <w:jc w:val="both"/>
      </w:pPr>
    </w:p>
    <w:p w:rsidR="0043135B" w:rsidRDefault="0043135B" w:rsidP="0043135B">
      <w:pPr>
        <w:jc w:val="both"/>
      </w:pPr>
      <w:r>
        <w:t xml:space="preserve">Algo similar ocurre en la gestión del recurso hídrico, donde se observa una tensión evidente entre funciones estratégicas y funciones de control. Las actividades de planificación hídrica y de monitoreo periódico —que permiten entender la disponibilidad del agua, anticipar escenarios de presión sobre las cuencas y orientar decisiones sobre recuperación de quebradas, rondas y ecosistemas— sufren reducciones importantes. En contraste, la actividad de evaluación y control a usuarios que aprovechan o afectan el recurso recibe un aumento. Esta distribución configura una política que privilegia la fiscalización por encima del conocimiento </w:t>
      </w:r>
      <w:r>
        <w:lastRenderedPageBreak/>
        <w:t>técnico y la planificación de largo plazo, debilitando las capacidades de análisis que deberían guiar la sostenibilidad del agua en la ciudad.</w:t>
      </w:r>
    </w:p>
    <w:p w:rsidR="0043135B" w:rsidRDefault="0043135B" w:rsidP="0043135B">
      <w:pPr>
        <w:jc w:val="both"/>
      </w:pPr>
    </w:p>
    <w:p w:rsidR="0043135B" w:rsidRDefault="0043135B" w:rsidP="0043135B">
      <w:pPr>
        <w:jc w:val="both"/>
      </w:pPr>
      <w:r>
        <w:t>El retroceso es todavía más pronunciado en el seguimiento a las Zonas Urbanas por Mejorar en la Calidad del Aire (ZUMA), especialmente la de Bosa–Apogeo. Esta línea, que debía consolidarse como una herramienta prioritaria para intervenir zonas con alta exposición a material particulado, presentó una ejecución mínima el último año y para 2026 recibe un recorte extremo. Con ello, la capacidad institucional para hacer verificaciones en campo, caracterizar condiciones de exposición y evaluar la eficacia de las medidas adoptadas se vuelve prácticamente inexistente, dejando sin soporte un instrumento creado precisamente para enfrentar uno de los problemas ambientales más graves de Bogotá.</w:t>
      </w:r>
    </w:p>
    <w:p w:rsidR="0043135B" w:rsidRDefault="0043135B" w:rsidP="0043135B">
      <w:pPr>
        <w:jc w:val="both"/>
      </w:pPr>
    </w:p>
    <w:p w:rsidR="0043135B" w:rsidRDefault="0043135B" w:rsidP="0043135B">
      <w:pPr>
        <w:jc w:val="both"/>
      </w:pPr>
      <w:r>
        <w:t>En cuanto a la conectividad ecológica, la meta de intervenir corredores ecosistémicos que relacionan Cerros Orientales, ríos, quebradas y humedales llega también debilitada al próximo año. La reducida inversión ejecutada durante la vigencia anterior y el posterior recorte afectan directamente la operación de la Estructura Ecológica Principal, limitando acciones necesarias para mantener la captura de carbono, la regulación hídrica y la biodiversidad urbana. La menor capacidad para intervenir estos corredores reduce la posibilidad de sostener procesos de restauración ecológica fundamentales para la resiliencia de la ciudad frente al cambio climático.</w:t>
      </w:r>
    </w:p>
    <w:p w:rsidR="0043135B" w:rsidRDefault="0043135B" w:rsidP="0043135B">
      <w:pPr>
        <w:jc w:val="both"/>
      </w:pPr>
    </w:p>
    <w:p w:rsidR="0043135B" w:rsidRDefault="0043135B" w:rsidP="0043135B">
      <w:pPr>
        <w:jc w:val="both"/>
      </w:pPr>
      <w:r>
        <w:t>La gestión del ruido y la contaminación auditiva, que constituye una de las principales fuentes de quejas ciudadanas y uno de los factores que más inciden en la calidad de vida urbana, también experimenta una reducción generalizada en todas sus actividades operativas. Las visitas de control, la operación de la red de monitoreo, los análisis de laboratorio y las acciones de seguimiento disminuyen su alcance, lo que limita la presencia territorial de la autoridad ambiental y su capacidad de actuar sobre fuentes ruidosas en zonas críticas. Aunque la formulación del Plan de Calidad Acústica recibe un aumento, este esfuerzo de planificación queda desbalanceado frente al debilitamiento de las capacidades técnicas que permitirían ejecutar las medidas del plan en territorio.</w:t>
      </w:r>
    </w:p>
    <w:p w:rsidR="0043135B" w:rsidRDefault="0043135B" w:rsidP="0043135B">
      <w:pPr>
        <w:jc w:val="both"/>
      </w:pPr>
      <w:r>
        <w:t xml:space="preserve">Finalmente, el ecourbanismo, que debería ser una línea clave de articulación entre la política ambiental y la transformación del entorno urbano, también recibe una reducción en su asignación para 2026. Este ajuste afecta iniciativas de renaturalización y adaptación lideradas por comunidades en múltiples localidades, procesos que requieren acompañamiento institucional sostenido para consolidarse. En este mismo sentido, todas las actividades asociadas a participación comunitaria y educación ambiental registran reducciones. Esto implica una disminución en la presencia de la SDA en los territorios, en la capacidad de acompañar conflictos socioambientales, en el apoyo a organizaciones comunitarias y en las estrategias </w:t>
      </w:r>
      <w:r>
        <w:lastRenderedPageBreak/>
        <w:t>pedagógicas que fortalecen la corresponsabilidad ciudadana en el cuidado del ambiente. La menor inversión en estas líneas profundiza la distancia entre la política ambiental y los procesos sociales que sostienen la protección de ecosistemas y la gestión de riesgos en la ciudad.</w:t>
      </w:r>
    </w:p>
    <w:p w:rsidR="0043135B" w:rsidRDefault="0043135B" w:rsidP="0043135B">
      <w:pPr>
        <w:jc w:val="both"/>
      </w:pPr>
      <w:r>
        <w:t>De manera transversal, todas las actividades vinculadas a la participación comunitaria y a la educación ambiental también sufren reducciones, lo que representa un retroceso profundo en la relación entre la autoridad ambiental y los territorios. Estas líneas sostienen cientos de procesos de mediación de conflictos socioambientales, fortalecen a organizaciones comunitarias, acompañan iniciativas barriales de restauración, y permiten que millones de personas reciban formación, orientación y herramientas para el cuidado de los ecosistemas. Al recortar cada una de estas actividades, la Secretaría disminuye su presencia en campo, debilita la construcción de corresponsabilidad con la ciudadanía y erosiona espacios de diálogo que son esenciales para prevenir daños ambientales y para sostener la gobernanza territorial. La consecuencia es una política ambiental más distante, más centralizada y menos conectada con las realidades que se viven en barrios, veredas y ecosistemas urbanos.</w:t>
      </w:r>
    </w:p>
    <w:p w:rsidR="0043135B" w:rsidRDefault="0043135B" w:rsidP="0043135B">
      <w:pPr>
        <w:jc w:val="both"/>
      </w:pPr>
      <w:r>
        <w:t>Siguiendo así, son múltiples los ejemplos que podríamos sostener, en el siguiente capítulo de la ponencia se pueden encontrar aspectos relevantes y en detalle frente a cada entidad y sector de la Administración Distrital y su situación y consideraciones de cara al Proyecto de Presupuesto Distrital 2026.</w:t>
      </w:r>
    </w:p>
    <w:p w:rsidR="0043135B" w:rsidRDefault="0043135B" w:rsidP="0043135B">
      <w:pPr>
        <w:jc w:val="both"/>
      </w:pPr>
    </w:p>
    <w:p w:rsidR="0043135B" w:rsidRPr="0043135B" w:rsidRDefault="0043135B" w:rsidP="0043135B">
      <w:pPr>
        <w:pStyle w:val="Prrafodelista"/>
        <w:numPr>
          <w:ilvl w:val="0"/>
          <w:numId w:val="65"/>
        </w:numPr>
        <w:jc w:val="both"/>
        <w:rPr>
          <w:b/>
          <w:bCs/>
        </w:rPr>
      </w:pPr>
      <w:r w:rsidRPr="0043135B">
        <w:rPr>
          <w:b/>
          <w:bCs/>
        </w:rPr>
        <w:t xml:space="preserve">Implementación Plan de Desarrollo de Bogotá, Inconsistencia de la Administración Distrital </w:t>
      </w:r>
    </w:p>
    <w:p w:rsidR="0043135B" w:rsidRPr="0043135B" w:rsidRDefault="0043135B" w:rsidP="0043135B">
      <w:pPr>
        <w:pStyle w:val="Prrafodelista"/>
        <w:numPr>
          <w:ilvl w:val="0"/>
          <w:numId w:val="65"/>
        </w:numPr>
        <w:jc w:val="both"/>
        <w:rPr>
          <w:b/>
          <w:bCs/>
        </w:rPr>
      </w:pPr>
    </w:p>
    <w:p w:rsidR="0043135B" w:rsidRDefault="0043135B" w:rsidP="0043135B">
      <w:pPr>
        <w:jc w:val="both"/>
      </w:pPr>
      <w:r>
        <w:t>La diferencia de enfoques y posiciones políticas es propia de la diversidad, sin embargo, algo que refuerza nuestra distinción de lo expresado en el proyecto de Presupuesto Distrital 2026, es lo relacionado a la consistencia que toda administración debe tener en la ejecución de sus propios planteamientos y de las promesas realizadas a la ciudadanía en el momento de la elección.  Por eso, queremos dejar sobre la mesa planteamientos relacionados a los avances de metas y la ejecución de esta Administración.</w:t>
      </w:r>
    </w:p>
    <w:p w:rsidR="0043135B" w:rsidRDefault="0043135B" w:rsidP="0043135B">
      <w:pPr>
        <w:jc w:val="both"/>
      </w:pPr>
      <w:r>
        <w:t xml:space="preserve">En primer lugar, como parámetro de la ejecución del Plan de Desarrollo Distrital, podemos ver relación del avance físico de metas general, del Plan Distrital de Desarrollo, el cual tiene 489 metas, en las que encontramos que: </w:t>
      </w:r>
    </w:p>
    <w:p w:rsidR="0043135B" w:rsidRDefault="0043135B" w:rsidP="0043135B">
      <w:pPr>
        <w:jc w:val="both"/>
      </w:pPr>
    </w:p>
    <w:p w:rsidR="0043135B" w:rsidRDefault="0043135B" w:rsidP="0043135B">
      <w:pPr>
        <w:numPr>
          <w:ilvl w:val="0"/>
          <w:numId w:val="68"/>
        </w:numPr>
        <w:spacing w:line="259" w:lineRule="auto"/>
      </w:pPr>
      <w:r>
        <w:t>22 avance 0%</w:t>
      </w:r>
    </w:p>
    <w:p w:rsidR="0043135B" w:rsidRDefault="0043135B" w:rsidP="0043135B">
      <w:pPr>
        <w:numPr>
          <w:ilvl w:val="0"/>
          <w:numId w:val="68"/>
        </w:numPr>
        <w:spacing w:line="259" w:lineRule="auto"/>
      </w:pPr>
      <w:r>
        <w:t>33 metas 1% a 5%</w:t>
      </w:r>
    </w:p>
    <w:p w:rsidR="0043135B" w:rsidRDefault="0043135B" w:rsidP="0043135B">
      <w:pPr>
        <w:numPr>
          <w:ilvl w:val="0"/>
          <w:numId w:val="68"/>
        </w:numPr>
        <w:spacing w:after="160" w:line="259" w:lineRule="auto"/>
      </w:pPr>
      <w:r>
        <w:t>99 metas de 6% a 20%</w:t>
      </w:r>
    </w:p>
    <w:p w:rsidR="0043135B" w:rsidRDefault="0043135B" w:rsidP="0043135B">
      <w:r>
        <w:t>31% del Plan de Desarrollo tiene un avance del 20% a corte de 30 de septiembre de 2025.</w:t>
      </w:r>
    </w:p>
    <w:p w:rsidR="0043135B" w:rsidRDefault="0043135B" w:rsidP="0043135B">
      <w:pPr>
        <w:jc w:val="both"/>
      </w:pPr>
      <w:r>
        <w:t>En segundo lugar, sobre el avance políticas públicas general Bogotá podemos observar en la información, la cual se presenta de manera dividida en gráficas; en la Gráfico 1 se encuentran las brechas de cada política pública, en la Gráfica 2 por sector con la información recolectada de seguimiento a corte de 30 de junio 2025 (el último disponible de la Administración), donde se realiza un acercamiento en las políticas que hasta la vigencia presentan una brecha positiva y las Políticas que presentan una brecha negativa según su trayectoria ideal.</w:t>
      </w:r>
    </w:p>
    <w:p w:rsidR="0043135B" w:rsidRDefault="0043135B" w:rsidP="0043135B">
      <w:pPr>
        <w:jc w:val="center"/>
      </w:pPr>
      <w:r>
        <w:rPr>
          <w:b/>
          <w:bCs/>
        </w:rPr>
        <w:t>Gráfico 1</w:t>
      </w:r>
      <w:r>
        <w:t>. Brechas de Políticas Públicas</w:t>
      </w:r>
    </w:p>
    <w:p w:rsidR="0043135B" w:rsidRDefault="0043135B" w:rsidP="0043135B">
      <w:r>
        <w:rPr>
          <w:noProof/>
          <w:lang w:val="es-CO"/>
        </w:rPr>
        <w:drawing>
          <wp:inline distT="0" distB="0" distL="0" distR="0" wp14:anchorId="0105365F" wp14:editId="40037D21">
            <wp:extent cx="5612130" cy="2924175"/>
            <wp:effectExtent l="0" t="0" r="0" b="0"/>
            <wp:docPr id="1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5612130" cy="2924175"/>
                    </a:xfrm>
                    <a:prstGeom prst="rect">
                      <a:avLst/>
                    </a:prstGeom>
                    <a:ln/>
                  </pic:spPr>
                </pic:pic>
              </a:graphicData>
            </a:graphic>
          </wp:inline>
        </w:drawing>
      </w:r>
    </w:p>
    <w:p w:rsidR="0043135B" w:rsidRDefault="0043135B" w:rsidP="0043135B">
      <w:pPr>
        <w:jc w:val="center"/>
        <w:rPr>
          <w:sz w:val="18"/>
          <w:szCs w:val="18"/>
        </w:rPr>
      </w:pPr>
      <w:r>
        <w:rPr>
          <w:b/>
          <w:bCs/>
          <w:sz w:val="18"/>
          <w:szCs w:val="18"/>
        </w:rPr>
        <w:t>Fuente:</w:t>
      </w:r>
      <w:r>
        <w:rPr>
          <w:sz w:val="18"/>
          <w:szCs w:val="18"/>
        </w:rPr>
        <w:t xml:space="preserve"> Informe resumen del Ecosistema de Políticas Públicas Corte: junio 30 de 2025</w:t>
      </w:r>
    </w:p>
    <w:p w:rsidR="0043135B" w:rsidRDefault="0043135B" w:rsidP="0043135B">
      <w:pPr>
        <w:spacing w:before="240" w:after="240"/>
        <w:jc w:val="both"/>
      </w:pPr>
      <w:r>
        <w:t>Las siguientes políticas públicas muestran un avance negativo en su desarrollo según el informe resumen del Ecosistema de Políticas Públicas con corte a junio 30 de 2025, presentado por parte de la Secretaría Distrital de Planeación a en el mes de noviembre 2025, en este sentido podemos observar que tienen reporte negativo 15 políticas públicas, las cuales son Salud Mental, Migrantes, Familias, Acción Comunal, BTI, ASP, Economía Cultural, Seguridad, Economía Circular, Comunicación Comunitaria, Movilidad, Hábitat, Raizal, Afro, Indígenas.</w:t>
      </w:r>
    </w:p>
    <w:p w:rsidR="0043135B" w:rsidRDefault="0043135B" w:rsidP="0043135B">
      <w:pPr>
        <w:spacing w:before="240" w:after="240"/>
        <w:jc w:val="both"/>
      </w:pPr>
      <w:r>
        <w:t>Ahora bien, la siguiente gráfica corresponde a “</w:t>
      </w:r>
      <w:r>
        <w:rPr>
          <w:i/>
          <w:iCs/>
        </w:rPr>
        <w:t>Brechas acumuladas por secto</w:t>
      </w:r>
      <w:r>
        <w:t>r” y muestra los diferentes sectores de la administración distrital y su respectiva brecha de acuerdo con el avance acumulado de todos los productos a cargo de dicho sector en todas las políticas públicas.</w:t>
      </w:r>
    </w:p>
    <w:p w:rsidR="0043135B" w:rsidRDefault="0043135B" w:rsidP="0043135B">
      <w:pPr>
        <w:jc w:val="center"/>
      </w:pPr>
      <w:r>
        <w:rPr>
          <w:b/>
          <w:bCs/>
        </w:rPr>
        <w:t>Gráfico 2.</w:t>
      </w:r>
      <w:r>
        <w:t xml:space="preserve"> Brechas acumuladas por sector</w:t>
      </w:r>
    </w:p>
    <w:p w:rsidR="0043135B" w:rsidRDefault="0043135B" w:rsidP="0043135B">
      <w:pPr>
        <w:jc w:val="center"/>
      </w:pPr>
      <w:r>
        <w:rPr>
          <w:noProof/>
          <w:lang w:val="es-CO"/>
        </w:rPr>
        <w:drawing>
          <wp:inline distT="0" distB="0" distL="0" distR="0" wp14:anchorId="60E431AE" wp14:editId="2D52CB96">
            <wp:extent cx="5612130" cy="3086901"/>
            <wp:effectExtent l="0" t="0" r="0" b="0"/>
            <wp:docPr id="1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t="2755"/>
                    <a:stretch>
                      <a:fillRect/>
                    </a:stretch>
                  </pic:blipFill>
                  <pic:spPr>
                    <a:xfrm>
                      <a:off x="0" y="0"/>
                      <a:ext cx="5612130" cy="3086901"/>
                    </a:xfrm>
                    <a:prstGeom prst="rect">
                      <a:avLst/>
                    </a:prstGeom>
                    <a:ln/>
                  </pic:spPr>
                </pic:pic>
              </a:graphicData>
            </a:graphic>
          </wp:inline>
        </w:drawing>
      </w:r>
    </w:p>
    <w:p w:rsidR="0043135B" w:rsidRDefault="0043135B" w:rsidP="0043135B">
      <w:pPr>
        <w:jc w:val="center"/>
      </w:pPr>
      <w:r>
        <w:rPr>
          <w:b/>
          <w:bCs/>
          <w:sz w:val="18"/>
          <w:szCs w:val="18"/>
        </w:rPr>
        <w:t>Fuente:</w:t>
      </w:r>
      <w:r>
        <w:rPr>
          <w:sz w:val="18"/>
          <w:szCs w:val="18"/>
        </w:rPr>
        <w:t xml:space="preserve"> Informe resumen del Ecosistema de Políticas Públicas Corte: junio 30 de 2025</w:t>
      </w:r>
    </w:p>
    <w:p w:rsidR="0043135B" w:rsidRDefault="0043135B" w:rsidP="0043135B">
      <w:pPr>
        <w:jc w:val="both"/>
      </w:pPr>
      <w:r>
        <w:t xml:space="preserve">La administración distrital tiene 8 sectores de los 15 con calificaciones negativas, la mitad de la administración distrital presenta retrasos en la implementación de las políticas públicas de la ciudad, para lo cual el sector de Gobierno; Hacienda y seguridad, convivencia y justificación representan el mayor registrado sectorial. </w:t>
      </w:r>
    </w:p>
    <w:p w:rsidR="0043135B" w:rsidRDefault="0043135B" w:rsidP="0043135B">
      <w:pPr>
        <w:jc w:val="both"/>
      </w:pPr>
      <w:r>
        <w:t>Algunos ejemplos:</w:t>
      </w:r>
    </w:p>
    <w:p w:rsidR="0043135B" w:rsidRDefault="0043135B" w:rsidP="0043135B">
      <w:pPr>
        <w:rPr>
          <w:b/>
          <w:bCs/>
          <w:i/>
          <w:iCs/>
        </w:rPr>
      </w:pPr>
    </w:p>
    <w:p w:rsidR="0043135B" w:rsidRDefault="0043135B" w:rsidP="0043135B">
      <w:pPr>
        <w:rPr>
          <w:b/>
          <w:bCs/>
          <w:i/>
          <w:iCs/>
        </w:rPr>
      </w:pPr>
      <w:r>
        <w:rPr>
          <w:b/>
          <w:bCs/>
          <w:i/>
          <w:iCs/>
        </w:rPr>
        <w:t>Elementos de Inconsistencias de Hábitat en Bogotá</w:t>
      </w:r>
    </w:p>
    <w:p w:rsidR="0043135B" w:rsidRDefault="0043135B" w:rsidP="0043135B">
      <w:r>
        <w:t xml:space="preserve">para comenzar, revisaremos la implementación de meta del Plan de Desarrollo Distrital por parte de la Secretaría Distrital de Hábitat, en relación a sus metas, podemos ver lo siguiente: </w:t>
      </w:r>
    </w:p>
    <w:p w:rsidR="0043135B" w:rsidRDefault="0043135B" w:rsidP="0043135B"/>
    <w:p w:rsidR="0043135B" w:rsidRDefault="0043135B" w:rsidP="0043135B">
      <w:pPr>
        <w:jc w:val="center"/>
      </w:pPr>
      <w:r>
        <w:rPr>
          <w:b/>
          <w:bCs/>
        </w:rPr>
        <w:t xml:space="preserve">Tabla 1. </w:t>
      </w:r>
      <w:r>
        <w:t xml:space="preserve">Avance Físico de Metas Secretaria Distrital de Hábitat </w:t>
      </w:r>
    </w:p>
    <w:tbl>
      <w:tblPr>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3"/>
        <w:gridCol w:w="2035"/>
        <w:gridCol w:w="2120"/>
      </w:tblGrid>
      <w:tr w:rsidR="0043135B" w:rsidTr="00863609">
        <w:trPr>
          <w:trHeight w:val="300"/>
        </w:trPr>
        <w:tc>
          <w:tcPr>
            <w:tcW w:w="4673" w:type="dxa"/>
          </w:tcPr>
          <w:p w:rsidR="0043135B" w:rsidRDefault="0043135B" w:rsidP="00863609">
            <w:pPr>
              <w:rPr>
                <w:b/>
                <w:bCs/>
              </w:rPr>
            </w:pPr>
            <w:r>
              <w:rPr>
                <w:b/>
                <w:bCs/>
              </w:rPr>
              <w:t xml:space="preserve">Metas Plan de Desarrollo Galán Hábitat </w:t>
            </w:r>
          </w:p>
        </w:tc>
        <w:tc>
          <w:tcPr>
            <w:tcW w:w="2035" w:type="dxa"/>
          </w:tcPr>
          <w:p w:rsidR="0043135B" w:rsidRDefault="0043135B" w:rsidP="00863609">
            <w:pPr>
              <w:rPr>
                <w:b/>
                <w:bCs/>
              </w:rPr>
            </w:pPr>
            <w:r>
              <w:rPr>
                <w:b/>
                <w:bCs/>
              </w:rPr>
              <w:t>AVANCE METAS VIGENCIA 2025</w:t>
            </w:r>
          </w:p>
        </w:tc>
        <w:tc>
          <w:tcPr>
            <w:tcW w:w="2120" w:type="dxa"/>
          </w:tcPr>
          <w:p w:rsidR="0043135B" w:rsidRDefault="0043135B" w:rsidP="00863609">
            <w:pPr>
              <w:rPr>
                <w:b/>
                <w:bCs/>
              </w:rPr>
            </w:pPr>
            <w:r>
              <w:rPr>
                <w:b/>
                <w:bCs/>
              </w:rPr>
              <w:t>AVANCE METAS PLAN</w:t>
            </w:r>
          </w:p>
        </w:tc>
      </w:tr>
      <w:tr w:rsidR="0043135B" w:rsidTr="00863609">
        <w:trPr>
          <w:trHeight w:val="600"/>
        </w:trPr>
        <w:tc>
          <w:tcPr>
            <w:tcW w:w="4673" w:type="dxa"/>
          </w:tcPr>
          <w:p w:rsidR="0043135B" w:rsidRDefault="0043135B" w:rsidP="00863609">
            <w:pPr>
              <w:jc w:val="both"/>
            </w:pPr>
            <w:r>
              <w:t>Intervenir 18 Polígono(s) de intervención integral de espacio público y revitalización para la promoción de espacios públicos seguros</w:t>
            </w:r>
          </w:p>
        </w:tc>
        <w:tc>
          <w:tcPr>
            <w:tcW w:w="2035" w:type="dxa"/>
          </w:tcPr>
          <w:p w:rsidR="0043135B" w:rsidRDefault="0043135B" w:rsidP="00863609">
            <w:r>
              <w:t>0%</w:t>
            </w:r>
          </w:p>
        </w:tc>
        <w:tc>
          <w:tcPr>
            <w:tcW w:w="2120" w:type="dxa"/>
          </w:tcPr>
          <w:p w:rsidR="0043135B" w:rsidRDefault="0043135B" w:rsidP="00863609">
            <w:r>
              <w:t>0%</w:t>
            </w:r>
          </w:p>
        </w:tc>
      </w:tr>
      <w:tr w:rsidR="0043135B" w:rsidTr="00863609">
        <w:trPr>
          <w:trHeight w:val="600"/>
        </w:trPr>
        <w:tc>
          <w:tcPr>
            <w:tcW w:w="4673" w:type="dxa"/>
          </w:tcPr>
          <w:p w:rsidR="0043135B" w:rsidRDefault="0043135B" w:rsidP="00863609">
            <w:pPr>
              <w:jc w:val="both"/>
            </w:pPr>
            <w:r>
              <w:t>Intervenir 2 Polígono(s) priorizados de intervención integral de revitalización y mejoramiento de barrios que promuevan la renaturalización y la adaptación al cambio climático</w:t>
            </w:r>
          </w:p>
        </w:tc>
        <w:tc>
          <w:tcPr>
            <w:tcW w:w="2035" w:type="dxa"/>
          </w:tcPr>
          <w:p w:rsidR="0043135B" w:rsidRDefault="0043135B" w:rsidP="00863609">
            <w:r>
              <w:t>0%</w:t>
            </w:r>
          </w:p>
        </w:tc>
        <w:tc>
          <w:tcPr>
            <w:tcW w:w="2120" w:type="dxa"/>
          </w:tcPr>
          <w:p w:rsidR="0043135B" w:rsidRDefault="0043135B" w:rsidP="00863609">
            <w:r>
              <w:t>0%</w:t>
            </w:r>
          </w:p>
        </w:tc>
      </w:tr>
      <w:tr w:rsidR="0043135B" w:rsidTr="00863609">
        <w:trPr>
          <w:trHeight w:val="600"/>
        </w:trPr>
        <w:tc>
          <w:tcPr>
            <w:tcW w:w="4673" w:type="dxa"/>
          </w:tcPr>
          <w:p w:rsidR="0043135B" w:rsidRDefault="0043135B" w:rsidP="00863609">
            <w:pPr>
              <w:jc w:val="both"/>
            </w:pPr>
            <w:r>
              <w:t>Ejecutar 8000 Mejoramiento(s) de vivienda rural y urbana para familias en condiciones vulnerabilidad</w:t>
            </w:r>
          </w:p>
        </w:tc>
        <w:tc>
          <w:tcPr>
            <w:tcW w:w="2035" w:type="dxa"/>
          </w:tcPr>
          <w:p w:rsidR="0043135B" w:rsidRDefault="0043135B" w:rsidP="00863609">
            <w:r>
              <w:t>5%</w:t>
            </w:r>
          </w:p>
        </w:tc>
        <w:tc>
          <w:tcPr>
            <w:tcW w:w="2120" w:type="dxa"/>
          </w:tcPr>
          <w:p w:rsidR="0043135B" w:rsidRDefault="0043135B" w:rsidP="00863609">
            <w:r>
              <w:t>2%</w:t>
            </w:r>
          </w:p>
        </w:tc>
      </w:tr>
      <w:tr w:rsidR="0043135B" w:rsidTr="00863609">
        <w:trPr>
          <w:trHeight w:val="600"/>
        </w:trPr>
        <w:tc>
          <w:tcPr>
            <w:tcW w:w="4673" w:type="dxa"/>
          </w:tcPr>
          <w:p w:rsidR="0043135B" w:rsidRDefault="0043135B" w:rsidP="00863609">
            <w:pPr>
              <w:jc w:val="both"/>
            </w:pPr>
            <w:r>
              <w:t>Intervenir 1800 Hectárea(s) a través de los Planes de Intervención para el Mejoramiento Integral del Hábitat (PIMI- Hábitat)</w:t>
            </w:r>
          </w:p>
        </w:tc>
        <w:tc>
          <w:tcPr>
            <w:tcW w:w="2035" w:type="dxa"/>
          </w:tcPr>
          <w:p w:rsidR="0043135B" w:rsidRDefault="0043135B" w:rsidP="00863609">
            <w:r>
              <w:t>0%</w:t>
            </w:r>
          </w:p>
        </w:tc>
        <w:tc>
          <w:tcPr>
            <w:tcW w:w="2120" w:type="dxa"/>
          </w:tcPr>
          <w:p w:rsidR="0043135B" w:rsidRDefault="0043135B" w:rsidP="00863609">
            <w:r>
              <w:t>10%</w:t>
            </w:r>
          </w:p>
        </w:tc>
      </w:tr>
      <w:tr w:rsidR="0043135B" w:rsidTr="00863609">
        <w:trPr>
          <w:trHeight w:val="900"/>
        </w:trPr>
        <w:tc>
          <w:tcPr>
            <w:tcW w:w="4673" w:type="dxa"/>
          </w:tcPr>
          <w:p w:rsidR="0043135B" w:rsidRDefault="0043135B" w:rsidP="00863609">
            <w:pPr>
              <w:jc w:val="both"/>
            </w:pPr>
            <w:r>
              <w:t>Fortalecer el 100% de la capacidad de gestión de las entidades del Sector Hábitat que promueva la innovación gubernamental la eficiencia administrativa y operativa como generadores de confianza ciudadana (Secretaría de Hábitat CVP Renobo UAESP)</w:t>
            </w:r>
          </w:p>
        </w:tc>
        <w:tc>
          <w:tcPr>
            <w:tcW w:w="2035" w:type="dxa"/>
          </w:tcPr>
          <w:p w:rsidR="0043135B" w:rsidRDefault="0043135B" w:rsidP="00863609">
            <w:r>
              <w:t>25%</w:t>
            </w:r>
          </w:p>
        </w:tc>
        <w:tc>
          <w:tcPr>
            <w:tcW w:w="2120" w:type="dxa"/>
          </w:tcPr>
          <w:p w:rsidR="0043135B" w:rsidRDefault="0043135B" w:rsidP="00863609">
            <w:r>
              <w:t>13%</w:t>
            </w:r>
          </w:p>
        </w:tc>
      </w:tr>
      <w:tr w:rsidR="0043135B" w:rsidTr="00863609">
        <w:trPr>
          <w:trHeight w:val="600"/>
        </w:trPr>
        <w:tc>
          <w:tcPr>
            <w:tcW w:w="4673" w:type="dxa"/>
          </w:tcPr>
          <w:p w:rsidR="0043135B" w:rsidRDefault="0043135B" w:rsidP="00863609">
            <w:pPr>
              <w:jc w:val="both"/>
            </w:pPr>
            <w:r>
              <w:t>Desarrollar 5 Herramienta(s) para mejorar la prestación eficiente de servicios públicos calidad de vida y la toma de decisiones en el área urbana</w:t>
            </w:r>
          </w:p>
        </w:tc>
        <w:tc>
          <w:tcPr>
            <w:tcW w:w="2035" w:type="dxa"/>
          </w:tcPr>
          <w:p w:rsidR="0043135B" w:rsidRDefault="0043135B" w:rsidP="00863609">
            <w:r>
              <w:t>80%</w:t>
            </w:r>
          </w:p>
        </w:tc>
        <w:tc>
          <w:tcPr>
            <w:tcW w:w="2120" w:type="dxa"/>
          </w:tcPr>
          <w:p w:rsidR="0043135B" w:rsidRDefault="0043135B" w:rsidP="00863609">
            <w:r>
              <w:t>17%</w:t>
            </w:r>
          </w:p>
        </w:tc>
      </w:tr>
      <w:tr w:rsidR="0043135B" w:rsidTr="00863609">
        <w:trPr>
          <w:trHeight w:val="600"/>
        </w:trPr>
        <w:tc>
          <w:tcPr>
            <w:tcW w:w="4673" w:type="dxa"/>
          </w:tcPr>
          <w:p w:rsidR="0043135B" w:rsidRDefault="0043135B" w:rsidP="00863609">
            <w:pPr>
              <w:jc w:val="both"/>
            </w:pPr>
            <w:r>
              <w:t>Asignar 75000 Subsidio(s) y/o instrumentos financieros para adquisición de vivienda nueva, arrendamiento y mejoramiento en los diferentes programas de la SDHT</w:t>
            </w:r>
          </w:p>
        </w:tc>
        <w:tc>
          <w:tcPr>
            <w:tcW w:w="2035" w:type="dxa"/>
          </w:tcPr>
          <w:p w:rsidR="0043135B" w:rsidRDefault="0043135B" w:rsidP="00863609">
            <w:r>
              <w:t>49%</w:t>
            </w:r>
          </w:p>
        </w:tc>
        <w:tc>
          <w:tcPr>
            <w:tcW w:w="2120" w:type="dxa"/>
          </w:tcPr>
          <w:p w:rsidR="0043135B" w:rsidRDefault="0043135B" w:rsidP="00863609">
            <w:r>
              <w:t>22%</w:t>
            </w:r>
          </w:p>
        </w:tc>
      </w:tr>
      <w:tr w:rsidR="0043135B" w:rsidTr="00863609">
        <w:trPr>
          <w:trHeight w:val="600"/>
        </w:trPr>
        <w:tc>
          <w:tcPr>
            <w:tcW w:w="4673" w:type="dxa"/>
          </w:tcPr>
          <w:p w:rsidR="0043135B" w:rsidRDefault="0043135B" w:rsidP="00863609">
            <w:pPr>
              <w:jc w:val="both"/>
            </w:pPr>
            <w:r>
              <w:t>Caracterizar 1000 Hogar(es) ubicados en Centros Poblados Rurales y ruralidad dispersa con relación a la prestación de servicios públicos domiciliarios</w:t>
            </w:r>
          </w:p>
        </w:tc>
        <w:tc>
          <w:tcPr>
            <w:tcW w:w="2035" w:type="dxa"/>
          </w:tcPr>
          <w:p w:rsidR="0043135B" w:rsidRDefault="0043135B" w:rsidP="00863609">
            <w:r>
              <w:t>80%</w:t>
            </w:r>
          </w:p>
        </w:tc>
        <w:tc>
          <w:tcPr>
            <w:tcW w:w="2120" w:type="dxa"/>
          </w:tcPr>
          <w:p w:rsidR="0043135B" w:rsidRDefault="0043135B" w:rsidP="00863609">
            <w:r>
              <w:t>24%</w:t>
            </w:r>
          </w:p>
        </w:tc>
      </w:tr>
      <w:tr w:rsidR="0043135B" w:rsidTr="00863609">
        <w:trPr>
          <w:trHeight w:val="600"/>
        </w:trPr>
        <w:tc>
          <w:tcPr>
            <w:tcW w:w="4673" w:type="dxa"/>
          </w:tcPr>
          <w:p w:rsidR="0043135B" w:rsidRDefault="0043135B" w:rsidP="00863609">
            <w:pPr>
              <w:jc w:val="both"/>
            </w:pPr>
            <w:r>
              <w:t>Ejecutar 48 Trámite(s) y/o Otros Procedimientos Administrativos en la Herramienta Tecnológica -Ventanilla Única de la Construcción</w:t>
            </w:r>
          </w:p>
        </w:tc>
        <w:tc>
          <w:tcPr>
            <w:tcW w:w="2035" w:type="dxa"/>
          </w:tcPr>
          <w:p w:rsidR="0043135B" w:rsidRDefault="0043135B" w:rsidP="00863609">
            <w:r>
              <w:t>55%</w:t>
            </w:r>
          </w:p>
        </w:tc>
        <w:tc>
          <w:tcPr>
            <w:tcW w:w="2120" w:type="dxa"/>
          </w:tcPr>
          <w:p w:rsidR="0043135B" w:rsidRDefault="0043135B" w:rsidP="00863609">
            <w:r>
              <w:t>25%</w:t>
            </w:r>
          </w:p>
        </w:tc>
      </w:tr>
      <w:tr w:rsidR="0043135B" w:rsidTr="00863609">
        <w:trPr>
          <w:trHeight w:val="600"/>
        </w:trPr>
        <w:tc>
          <w:tcPr>
            <w:tcW w:w="4673" w:type="dxa"/>
          </w:tcPr>
          <w:p w:rsidR="0043135B" w:rsidRDefault="0043135B" w:rsidP="00863609">
            <w:pPr>
              <w:jc w:val="both"/>
            </w:pPr>
            <w:r>
              <w:t>Gestionar 350 Hectárea(s) de asentamientos de origen informal y barrios legalizados mediante actividades de etapa previa de los trámites de legalización y formalización</w:t>
            </w:r>
          </w:p>
        </w:tc>
        <w:tc>
          <w:tcPr>
            <w:tcW w:w="2035" w:type="dxa"/>
          </w:tcPr>
          <w:p w:rsidR="0043135B" w:rsidRDefault="0043135B" w:rsidP="00863609">
            <w:r>
              <w:t>69%</w:t>
            </w:r>
          </w:p>
        </w:tc>
        <w:tc>
          <w:tcPr>
            <w:tcW w:w="2120" w:type="dxa"/>
          </w:tcPr>
          <w:p w:rsidR="0043135B" w:rsidRDefault="0043135B" w:rsidP="00863609">
            <w:r>
              <w:t>29%</w:t>
            </w:r>
          </w:p>
        </w:tc>
      </w:tr>
      <w:tr w:rsidR="0043135B" w:rsidTr="00863609">
        <w:trPr>
          <w:trHeight w:val="600"/>
        </w:trPr>
        <w:tc>
          <w:tcPr>
            <w:tcW w:w="4673" w:type="dxa"/>
          </w:tcPr>
          <w:p w:rsidR="0043135B" w:rsidRDefault="0043135B" w:rsidP="00863609">
            <w:pPr>
              <w:jc w:val="both"/>
            </w:pPr>
            <w:r>
              <w:t>Integrar 4 Herramienta(s) del sistema de información del sector hábitat que permitan la transparencia y difusión del conocimiento generado</w:t>
            </w:r>
          </w:p>
        </w:tc>
        <w:tc>
          <w:tcPr>
            <w:tcW w:w="2035" w:type="dxa"/>
          </w:tcPr>
          <w:p w:rsidR="0043135B" w:rsidRDefault="0043135B" w:rsidP="00863609">
            <w:r>
              <w:t>75%</w:t>
            </w:r>
          </w:p>
        </w:tc>
        <w:tc>
          <w:tcPr>
            <w:tcW w:w="2120" w:type="dxa"/>
          </w:tcPr>
          <w:p w:rsidR="0043135B" w:rsidRDefault="0043135B" w:rsidP="00863609">
            <w:r>
              <w:t>34%</w:t>
            </w:r>
          </w:p>
        </w:tc>
      </w:tr>
      <w:tr w:rsidR="0043135B" w:rsidTr="00863609">
        <w:trPr>
          <w:trHeight w:val="300"/>
        </w:trPr>
        <w:tc>
          <w:tcPr>
            <w:tcW w:w="4673" w:type="dxa"/>
          </w:tcPr>
          <w:p w:rsidR="0043135B" w:rsidRDefault="0043135B" w:rsidP="00863609">
            <w:pPr>
              <w:jc w:val="both"/>
            </w:pPr>
            <w:r>
              <w:t>Elaborar 1 Estudio(s) técnico como insumos para la elaboración de un hecho metropolitano</w:t>
            </w:r>
          </w:p>
        </w:tc>
        <w:tc>
          <w:tcPr>
            <w:tcW w:w="2035" w:type="dxa"/>
          </w:tcPr>
          <w:p w:rsidR="0043135B" w:rsidRDefault="0043135B" w:rsidP="00863609">
            <w:r>
              <w:t>83%</w:t>
            </w:r>
          </w:p>
        </w:tc>
        <w:tc>
          <w:tcPr>
            <w:tcW w:w="2120" w:type="dxa"/>
          </w:tcPr>
          <w:p w:rsidR="0043135B" w:rsidRDefault="0043135B" w:rsidP="00863609">
            <w:r>
              <w:t>35%</w:t>
            </w:r>
          </w:p>
        </w:tc>
      </w:tr>
      <w:tr w:rsidR="0043135B" w:rsidTr="00863609">
        <w:trPr>
          <w:trHeight w:val="300"/>
        </w:trPr>
        <w:tc>
          <w:tcPr>
            <w:tcW w:w="4673" w:type="dxa"/>
          </w:tcPr>
          <w:p w:rsidR="0043135B" w:rsidRDefault="0043135B" w:rsidP="00863609">
            <w:pPr>
              <w:jc w:val="both"/>
            </w:pPr>
            <w:r>
              <w:t>Promover la iniciación de 80000 Unidad(es) de Viviendas VIS y VIP en Bogotá</w:t>
            </w:r>
          </w:p>
        </w:tc>
        <w:tc>
          <w:tcPr>
            <w:tcW w:w="2035" w:type="dxa"/>
          </w:tcPr>
          <w:p w:rsidR="0043135B" w:rsidRDefault="0043135B" w:rsidP="00863609">
            <w:r>
              <w:t>86%</w:t>
            </w:r>
          </w:p>
        </w:tc>
        <w:tc>
          <w:tcPr>
            <w:tcW w:w="2120" w:type="dxa"/>
          </w:tcPr>
          <w:p w:rsidR="0043135B" w:rsidRDefault="0043135B" w:rsidP="00863609">
            <w:r>
              <w:t>36%</w:t>
            </w:r>
          </w:p>
        </w:tc>
      </w:tr>
      <w:tr w:rsidR="0043135B" w:rsidTr="00863609">
        <w:trPr>
          <w:trHeight w:val="600"/>
        </w:trPr>
        <w:tc>
          <w:tcPr>
            <w:tcW w:w="4673" w:type="dxa"/>
          </w:tcPr>
          <w:p w:rsidR="0043135B" w:rsidRDefault="0043135B" w:rsidP="00863609">
            <w:pPr>
              <w:jc w:val="both"/>
            </w:pPr>
            <w:r>
              <w:t>Gestionar 90 Hectárea(s) de suelo útil habilitado para la producción de soluciones habitacionales con soportes urbanos adecuados</w:t>
            </w:r>
          </w:p>
        </w:tc>
        <w:tc>
          <w:tcPr>
            <w:tcW w:w="2035" w:type="dxa"/>
          </w:tcPr>
          <w:p w:rsidR="0043135B" w:rsidRDefault="0043135B" w:rsidP="00863609">
            <w:r>
              <w:t>9%</w:t>
            </w:r>
          </w:p>
        </w:tc>
        <w:tc>
          <w:tcPr>
            <w:tcW w:w="2120" w:type="dxa"/>
          </w:tcPr>
          <w:p w:rsidR="0043135B" w:rsidRDefault="0043135B" w:rsidP="00863609">
            <w:r>
              <w:t>40%</w:t>
            </w:r>
          </w:p>
        </w:tc>
      </w:tr>
      <w:tr w:rsidR="0043135B" w:rsidTr="00863609">
        <w:trPr>
          <w:trHeight w:val="900"/>
        </w:trPr>
        <w:tc>
          <w:tcPr>
            <w:tcW w:w="4673" w:type="dxa"/>
          </w:tcPr>
          <w:p w:rsidR="0043135B" w:rsidRDefault="0043135B" w:rsidP="00863609">
            <w:pPr>
              <w:jc w:val="both"/>
            </w:pPr>
            <w:r>
              <w:t>Diseñar e implementar 4 Estrategia(s) que promuevan la participación ciudadana en la revitalización y resiliencia de espacios urbanos y rurales a través de la gobernanza colaborativa la gestión e innovación social para un hábitat incluyente</w:t>
            </w:r>
          </w:p>
        </w:tc>
        <w:tc>
          <w:tcPr>
            <w:tcW w:w="2035" w:type="dxa"/>
          </w:tcPr>
          <w:p w:rsidR="0043135B" w:rsidRDefault="0043135B" w:rsidP="00863609">
            <w:r>
              <w:t>100%</w:t>
            </w:r>
          </w:p>
        </w:tc>
        <w:tc>
          <w:tcPr>
            <w:tcW w:w="2120" w:type="dxa"/>
          </w:tcPr>
          <w:p w:rsidR="0043135B" w:rsidRDefault="0043135B" w:rsidP="00863609">
            <w:r>
              <w:t>50%</w:t>
            </w:r>
          </w:p>
        </w:tc>
      </w:tr>
      <w:tr w:rsidR="0043135B" w:rsidTr="00863609">
        <w:trPr>
          <w:trHeight w:val="600"/>
        </w:trPr>
        <w:tc>
          <w:tcPr>
            <w:tcW w:w="4673" w:type="dxa"/>
          </w:tcPr>
          <w:p w:rsidR="0043135B" w:rsidRDefault="0043135B" w:rsidP="00863609">
            <w:pPr>
              <w:jc w:val="both"/>
            </w:pPr>
            <w:r>
              <w:t>Monitorear el 100% de las áreas definidas como susceptibles de ser ocupadas o desarrolladas de manera ilegal o informal</w:t>
            </w:r>
          </w:p>
        </w:tc>
        <w:tc>
          <w:tcPr>
            <w:tcW w:w="2035" w:type="dxa"/>
          </w:tcPr>
          <w:p w:rsidR="0043135B" w:rsidRDefault="0043135B" w:rsidP="00863609">
            <w:r>
              <w:t>100%</w:t>
            </w:r>
          </w:p>
        </w:tc>
        <w:tc>
          <w:tcPr>
            <w:tcW w:w="2120" w:type="dxa"/>
          </w:tcPr>
          <w:p w:rsidR="0043135B" w:rsidRDefault="0043135B" w:rsidP="00863609">
            <w:r>
              <w:t>50%</w:t>
            </w:r>
          </w:p>
        </w:tc>
      </w:tr>
      <w:tr w:rsidR="0043135B" w:rsidTr="00863609">
        <w:trPr>
          <w:trHeight w:val="600"/>
        </w:trPr>
        <w:tc>
          <w:tcPr>
            <w:tcW w:w="4673" w:type="dxa"/>
          </w:tcPr>
          <w:p w:rsidR="0043135B" w:rsidRDefault="0043135B" w:rsidP="00863609">
            <w:pPr>
              <w:jc w:val="both"/>
            </w:pPr>
            <w:r>
              <w:t>Mejorar a 2000 Hogar(es) rurales las condiciones de cobertura calidad y continuidad de la prestación de los Servicios Públicos domiciliarios y TIC</w:t>
            </w:r>
          </w:p>
        </w:tc>
        <w:tc>
          <w:tcPr>
            <w:tcW w:w="2035" w:type="dxa"/>
          </w:tcPr>
          <w:p w:rsidR="0043135B" w:rsidRDefault="0043135B" w:rsidP="00863609">
            <w:r>
              <w:t>100%</w:t>
            </w:r>
          </w:p>
        </w:tc>
        <w:tc>
          <w:tcPr>
            <w:tcW w:w="2120" w:type="dxa"/>
          </w:tcPr>
          <w:p w:rsidR="0043135B" w:rsidRDefault="0043135B" w:rsidP="00863609">
            <w:r>
              <w:t>58%</w:t>
            </w:r>
          </w:p>
        </w:tc>
      </w:tr>
    </w:tbl>
    <w:p w:rsidR="0043135B" w:rsidRDefault="0043135B" w:rsidP="0043135B">
      <w:pPr>
        <w:jc w:val="center"/>
        <w:rPr>
          <w:sz w:val="18"/>
          <w:szCs w:val="18"/>
        </w:rPr>
      </w:pPr>
      <w:r>
        <w:rPr>
          <w:b/>
          <w:bCs/>
          <w:sz w:val="18"/>
          <w:szCs w:val="18"/>
        </w:rPr>
        <w:t>Fuente:</w:t>
      </w:r>
      <w:r>
        <w:rPr>
          <w:sz w:val="18"/>
          <w:szCs w:val="18"/>
        </w:rPr>
        <w:t xml:space="preserve"> Reporte de Avance Fisico corte 30 de septiembre, información suministrada por la Secretaría Distrital de Planeación (2025). </w:t>
      </w:r>
    </w:p>
    <w:p w:rsidR="0043135B" w:rsidRDefault="0043135B" w:rsidP="0043135B">
      <w:pPr>
        <w:jc w:val="center"/>
        <w:rPr>
          <w:sz w:val="18"/>
          <w:szCs w:val="18"/>
        </w:rPr>
      </w:pPr>
    </w:p>
    <w:p w:rsidR="0043135B" w:rsidRDefault="0043135B" w:rsidP="0043135B">
      <w:r>
        <w:t xml:space="preserve">Como se muestra en la anterior tabla, podemos encontrar un avance menor al 30% de las siguientes metas asignadas a la Secretaria Distrital de Hábitat que reducen la capacidad del distrito de disminuir el déficit habitacional de la ciudad, las cuales son: </w:t>
      </w:r>
    </w:p>
    <w:p w:rsidR="0043135B" w:rsidRDefault="0043135B" w:rsidP="0043135B"/>
    <w:p w:rsidR="0043135B" w:rsidRDefault="0043135B" w:rsidP="0043135B">
      <w:pPr>
        <w:numPr>
          <w:ilvl w:val="0"/>
          <w:numId w:val="70"/>
        </w:numPr>
        <w:spacing w:line="259" w:lineRule="auto"/>
        <w:jc w:val="both"/>
      </w:pPr>
      <w:r>
        <w:t>Intervenir 18 Polígono(s) de intervención integral de espacio público y revitalización para la promoción de espacios públicos seguros</w:t>
      </w:r>
    </w:p>
    <w:p w:rsidR="0043135B" w:rsidRDefault="0043135B" w:rsidP="0043135B">
      <w:pPr>
        <w:numPr>
          <w:ilvl w:val="0"/>
          <w:numId w:val="70"/>
        </w:numPr>
        <w:spacing w:line="259" w:lineRule="auto"/>
        <w:jc w:val="both"/>
      </w:pPr>
      <w:r>
        <w:t>Intervenir 2 Polígono(s) priorizados de intervención integral de revitalización y mejoramiento de barrios que promuevan la renaturalización y la adaptación al cambio climático</w:t>
      </w:r>
    </w:p>
    <w:p w:rsidR="0043135B" w:rsidRDefault="0043135B" w:rsidP="0043135B">
      <w:pPr>
        <w:numPr>
          <w:ilvl w:val="0"/>
          <w:numId w:val="70"/>
        </w:numPr>
        <w:spacing w:line="259" w:lineRule="auto"/>
        <w:jc w:val="both"/>
      </w:pPr>
      <w:r>
        <w:t>Ejecutar 8000 Mejoramiento(s) de vivienda rural y urbana para familias en condiciones vulnerabilidad</w:t>
      </w:r>
    </w:p>
    <w:p w:rsidR="0043135B" w:rsidRDefault="0043135B" w:rsidP="0043135B">
      <w:pPr>
        <w:numPr>
          <w:ilvl w:val="0"/>
          <w:numId w:val="70"/>
        </w:numPr>
        <w:spacing w:line="259" w:lineRule="auto"/>
        <w:jc w:val="both"/>
      </w:pPr>
      <w:r>
        <w:t>Intervenir 1800 Hectárea(s) a través de los Planes de Intervención para el Mejoramiento Integral del Hábitat (PIMI- Hábitat)</w:t>
      </w:r>
    </w:p>
    <w:p w:rsidR="0043135B" w:rsidRDefault="0043135B" w:rsidP="0043135B">
      <w:pPr>
        <w:numPr>
          <w:ilvl w:val="0"/>
          <w:numId w:val="70"/>
        </w:numPr>
        <w:spacing w:line="259" w:lineRule="auto"/>
        <w:jc w:val="both"/>
      </w:pPr>
      <w:r>
        <w:t>Desarrollar 5 Herramienta(s) para mejorar la prestación eficiente de servicios públicos calidad de vida y la toma de decisiones en el área urbana</w:t>
      </w:r>
    </w:p>
    <w:p w:rsidR="0043135B" w:rsidRDefault="0043135B" w:rsidP="0043135B">
      <w:pPr>
        <w:numPr>
          <w:ilvl w:val="0"/>
          <w:numId w:val="70"/>
        </w:numPr>
        <w:spacing w:line="259" w:lineRule="auto"/>
        <w:jc w:val="both"/>
      </w:pPr>
      <w:r>
        <w:t>Asignar 75000 Subsidio(s) y/o instrumentos financieros para adquisición de vivienda nueva, arrendamiento y mejoramiento en los diferentes programas de la SDHT</w:t>
      </w:r>
    </w:p>
    <w:p w:rsidR="0043135B" w:rsidRDefault="0043135B" w:rsidP="0043135B">
      <w:pPr>
        <w:numPr>
          <w:ilvl w:val="0"/>
          <w:numId w:val="70"/>
        </w:numPr>
        <w:spacing w:line="259" w:lineRule="auto"/>
        <w:jc w:val="both"/>
      </w:pPr>
      <w:r>
        <w:t>Caracterizar 1000 Hogar(es) ubicados en Centros Poblados Rurales y ruralidad dispersa con relación a la prestación de servicios públicos domiciliarios</w:t>
      </w:r>
    </w:p>
    <w:p w:rsidR="0043135B" w:rsidRDefault="0043135B" w:rsidP="0043135B">
      <w:pPr>
        <w:numPr>
          <w:ilvl w:val="0"/>
          <w:numId w:val="70"/>
        </w:numPr>
        <w:spacing w:after="160" w:line="259" w:lineRule="auto"/>
        <w:jc w:val="both"/>
      </w:pPr>
      <w:r>
        <w:t>Gestionar 350 Hectárea(s) de asentamientos de origen informal y barrios legalizados mediante actividades de etapa previa de los trámites de legalización y formalización</w:t>
      </w:r>
    </w:p>
    <w:p w:rsidR="0043135B" w:rsidRDefault="0043135B" w:rsidP="0043135B">
      <w:r>
        <w:t xml:space="preserve">Su baja ejecución en temas de mejoramiento de espacio público, vivienda implican una preocupación relevante sobre sobre los déficits de hábitat de la ciudad. </w:t>
      </w:r>
    </w:p>
    <w:p w:rsidR="0043135B" w:rsidRDefault="0043135B" w:rsidP="0043135B">
      <w:pPr>
        <w:jc w:val="both"/>
      </w:pPr>
      <w:r>
        <w:t>Por ejemplo, el déficit cualitativo de hábitat (o de vivienda) en Bogotá el cual se refiere a los hogares que viven en una vivienda que es inadecuada o que carece de las condiciones mínimas de calidad, incluso si el hogar tiene una vivienda propia o en arriendo.</w:t>
      </w:r>
    </w:p>
    <w:p w:rsidR="0043135B" w:rsidRDefault="0043135B" w:rsidP="0043135B">
      <w:pPr>
        <w:jc w:val="both"/>
      </w:pPr>
    </w:p>
    <w:p w:rsidR="0043135B" w:rsidRDefault="0043135B" w:rsidP="0043135B">
      <w:pPr>
        <w:jc w:val="both"/>
      </w:pPr>
      <w:r>
        <w:t xml:space="preserve">Según la Secretaría Distrital del Hábitat (SDHT) de Bogotá, con datos de la Encuesta de Calidad de Vida (ECV) de 2023, se pueden observar los siguientes fenómenos en la Ciudad: </w:t>
      </w:r>
    </w:p>
    <w:p w:rsidR="0043135B" w:rsidRDefault="0043135B" w:rsidP="0043135B">
      <w:pPr>
        <w:jc w:val="both"/>
      </w:pPr>
    </w:p>
    <w:p w:rsidR="0043135B" w:rsidRDefault="0043135B" w:rsidP="0043135B">
      <w:pPr>
        <w:numPr>
          <w:ilvl w:val="0"/>
          <w:numId w:val="72"/>
        </w:numPr>
        <w:spacing w:line="259" w:lineRule="auto"/>
        <w:jc w:val="both"/>
      </w:pPr>
      <w:r>
        <w:t>10.4% de los hogares en Bogotá (lo que equivale a 315 mil hogares) presentaban déficit cualitativo, lo que indica que sus viviendas requieren mejoras estructurales. Este porcentaje es significativamente mayor que el déficit cuantitativo (hogares que requieren una vivienda nueva), que para el mismo año y fuente se ubicó en 0.7% (21 mil hogares).</w:t>
      </w:r>
    </w:p>
    <w:p w:rsidR="0043135B" w:rsidRDefault="0043135B" w:rsidP="0043135B">
      <w:pPr>
        <w:numPr>
          <w:ilvl w:val="0"/>
          <w:numId w:val="73"/>
        </w:numPr>
        <w:spacing w:line="259" w:lineRule="auto"/>
        <w:jc w:val="both"/>
      </w:pPr>
      <w:r>
        <w:t>Alta Brecha: El 36.4% de los hogares rurales en Bogotá vive en condiciones de déficit cualitativo, lo que es más de tres veces la tasa de déficit cualitativo en la zona urbana (10.3%).</w:t>
      </w:r>
    </w:p>
    <w:p w:rsidR="0043135B" w:rsidRDefault="0043135B" w:rsidP="0043135B">
      <w:pPr>
        <w:numPr>
          <w:ilvl w:val="0"/>
          <w:numId w:val="73"/>
        </w:numPr>
        <w:spacing w:line="259" w:lineRule="auto"/>
        <w:jc w:val="both"/>
      </w:pPr>
      <w:r>
        <w:t>Magnitud del Reto: Aunque el número de hogares afectados es menor (4.000) debido a la baja densidad poblacional rural, el porcentaje (36.4%) subraya que casi cuatro de cada diez hogares rurales de la capital necesitan un mejoramiento en su vivienda.</w:t>
      </w:r>
    </w:p>
    <w:p w:rsidR="0043135B" w:rsidRDefault="0043135B" w:rsidP="0043135B">
      <w:pPr>
        <w:numPr>
          <w:ilvl w:val="0"/>
          <w:numId w:val="73"/>
        </w:numPr>
        <w:spacing w:after="160" w:line="259" w:lineRule="auto"/>
        <w:jc w:val="both"/>
      </w:pPr>
      <w:r>
        <w:t>Déficit Total: El 43.3% de los hogares rurales presenta algún tipo de déficit habitacional (cualitativo o cuantitativo).</w:t>
      </w:r>
    </w:p>
    <w:p w:rsidR="0043135B" w:rsidRDefault="0043135B" w:rsidP="0043135B">
      <w:pPr>
        <w:jc w:val="both"/>
      </w:pPr>
      <w:r>
        <w:t>Es altamente preocupante que, aunque el programa de mejoramiento de vivienda rural, se contrató, desaparece del distrito y solo tendrá 250 millones para el próximo año.</w:t>
      </w:r>
    </w:p>
    <w:p w:rsidR="0043135B" w:rsidRDefault="0043135B" w:rsidP="0043135B">
      <w:pPr>
        <w:jc w:val="both"/>
      </w:pPr>
    </w:p>
    <w:p w:rsidR="0043135B" w:rsidRDefault="0043135B" w:rsidP="0043135B">
      <w:pPr>
        <w:jc w:val="both"/>
      </w:pPr>
      <w:r>
        <w:t>Adicionalmente, revisando una visión de hábitat como ciudad encontramos que de los 7 indicadores de ciudad sobre disminución de brechas de equipamiento solo uno supera el 30% de avance físico de las metas del Plan de desarollo de Galán.</w:t>
      </w:r>
    </w:p>
    <w:p w:rsidR="0043135B" w:rsidRDefault="0043135B" w:rsidP="0043135B">
      <w:pPr>
        <w:jc w:val="both"/>
      </w:pPr>
    </w:p>
    <w:p w:rsidR="0043135B" w:rsidRDefault="0043135B" w:rsidP="0043135B">
      <w:pPr>
        <w:jc w:val="center"/>
      </w:pPr>
      <w:r>
        <w:rPr>
          <w:b/>
          <w:bCs/>
        </w:rPr>
        <w:t xml:space="preserve">Tabla 2. </w:t>
      </w:r>
      <w:r>
        <w:t xml:space="preserve">Avance Físico de Metas de Equipamientos intersectoriales </w:t>
      </w:r>
    </w:p>
    <w:tbl>
      <w:tblPr>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34"/>
        <w:gridCol w:w="1337"/>
        <w:gridCol w:w="1057"/>
      </w:tblGrid>
      <w:tr w:rsidR="0043135B" w:rsidTr="00863609">
        <w:trPr>
          <w:trHeight w:val="300"/>
        </w:trPr>
        <w:tc>
          <w:tcPr>
            <w:tcW w:w="6434" w:type="dxa"/>
          </w:tcPr>
          <w:p w:rsidR="0043135B" w:rsidRDefault="0043135B" w:rsidP="00863609">
            <w:pPr>
              <w:rPr>
                <w:b/>
                <w:bCs/>
              </w:rPr>
            </w:pPr>
            <w:r>
              <w:rPr>
                <w:b/>
                <w:bCs/>
              </w:rPr>
              <w:t xml:space="preserve">Indicadores de reducción de deficit de equipamiento de Ciudad  Plan DD Galán </w:t>
            </w:r>
          </w:p>
        </w:tc>
        <w:tc>
          <w:tcPr>
            <w:tcW w:w="1337" w:type="dxa"/>
          </w:tcPr>
          <w:p w:rsidR="0043135B" w:rsidRDefault="0043135B" w:rsidP="00863609">
            <w:pPr>
              <w:rPr>
                <w:b/>
                <w:bCs/>
              </w:rPr>
            </w:pPr>
            <w:r>
              <w:rPr>
                <w:b/>
                <w:bCs/>
              </w:rPr>
              <w:t>Avance 2025</w:t>
            </w:r>
          </w:p>
        </w:tc>
        <w:tc>
          <w:tcPr>
            <w:tcW w:w="1057" w:type="dxa"/>
          </w:tcPr>
          <w:p w:rsidR="0043135B" w:rsidRDefault="0043135B" w:rsidP="00863609">
            <w:pPr>
              <w:rPr>
                <w:b/>
                <w:bCs/>
              </w:rPr>
            </w:pPr>
            <w:r>
              <w:rPr>
                <w:b/>
                <w:bCs/>
              </w:rPr>
              <w:t>Avance PLAN</w:t>
            </w:r>
          </w:p>
        </w:tc>
      </w:tr>
      <w:tr w:rsidR="0043135B" w:rsidTr="00863609">
        <w:trPr>
          <w:trHeight w:val="300"/>
        </w:trPr>
        <w:tc>
          <w:tcPr>
            <w:tcW w:w="6434" w:type="dxa"/>
          </w:tcPr>
          <w:p w:rsidR="0043135B" w:rsidRDefault="0043135B" w:rsidP="00863609">
            <w:r>
              <w:t>Número de equipamientos nuevos abiertos para la prestación de servicios del sector social</w:t>
            </w:r>
          </w:p>
        </w:tc>
        <w:tc>
          <w:tcPr>
            <w:tcW w:w="1337" w:type="dxa"/>
          </w:tcPr>
          <w:p w:rsidR="0043135B" w:rsidRDefault="0043135B" w:rsidP="00863609">
            <w:r>
              <w:t>0%</w:t>
            </w:r>
          </w:p>
        </w:tc>
        <w:tc>
          <w:tcPr>
            <w:tcW w:w="1057" w:type="dxa"/>
          </w:tcPr>
          <w:p w:rsidR="0043135B" w:rsidRDefault="0043135B" w:rsidP="00863609">
            <w:r>
              <w:t>0%</w:t>
            </w:r>
          </w:p>
        </w:tc>
      </w:tr>
      <w:tr w:rsidR="0043135B" w:rsidTr="00863609">
        <w:trPr>
          <w:trHeight w:val="300"/>
        </w:trPr>
        <w:tc>
          <w:tcPr>
            <w:tcW w:w="6434" w:type="dxa"/>
          </w:tcPr>
          <w:p w:rsidR="0043135B" w:rsidRDefault="0043135B" w:rsidP="00863609">
            <w:r>
              <w:t>Número de colegios restituidos entregados</w:t>
            </w:r>
          </w:p>
        </w:tc>
        <w:tc>
          <w:tcPr>
            <w:tcW w:w="1337" w:type="dxa"/>
          </w:tcPr>
          <w:p w:rsidR="0043135B" w:rsidRDefault="0043135B" w:rsidP="00863609">
            <w:r>
              <w:t>0%</w:t>
            </w:r>
          </w:p>
        </w:tc>
        <w:tc>
          <w:tcPr>
            <w:tcW w:w="1057" w:type="dxa"/>
          </w:tcPr>
          <w:p w:rsidR="0043135B" w:rsidRDefault="0043135B" w:rsidP="00863609">
            <w:r>
              <w:t>8%</w:t>
            </w:r>
          </w:p>
        </w:tc>
      </w:tr>
      <w:tr w:rsidR="0043135B" w:rsidTr="00863609">
        <w:trPr>
          <w:trHeight w:val="300"/>
        </w:trPr>
        <w:tc>
          <w:tcPr>
            <w:tcW w:w="6434" w:type="dxa"/>
          </w:tcPr>
          <w:p w:rsidR="0043135B" w:rsidRDefault="0043135B" w:rsidP="00863609">
            <w:r>
              <w:t>Número de infraestructuras mejoradas</w:t>
            </w:r>
          </w:p>
        </w:tc>
        <w:tc>
          <w:tcPr>
            <w:tcW w:w="1337" w:type="dxa"/>
          </w:tcPr>
          <w:p w:rsidR="0043135B" w:rsidRDefault="0043135B" w:rsidP="00863609">
            <w:r>
              <w:t>33%</w:t>
            </w:r>
          </w:p>
        </w:tc>
        <w:tc>
          <w:tcPr>
            <w:tcW w:w="1057" w:type="dxa"/>
          </w:tcPr>
          <w:p w:rsidR="0043135B" w:rsidRDefault="0043135B" w:rsidP="00863609">
            <w:r>
              <w:t>10%</w:t>
            </w:r>
          </w:p>
        </w:tc>
      </w:tr>
      <w:tr w:rsidR="0043135B" w:rsidTr="00863609">
        <w:trPr>
          <w:trHeight w:val="300"/>
        </w:trPr>
        <w:tc>
          <w:tcPr>
            <w:tcW w:w="6434" w:type="dxa"/>
          </w:tcPr>
          <w:p w:rsidR="0043135B" w:rsidRDefault="0043135B" w:rsidP="00863609">
            <w:r>
              <w:t>Número de colegios nuevos entregados</w:t>
            </w:r>
          </w:p>
        </w:tc>
        <w:tc>
          <w:tcPr>
            <w:tcW w:w="1337" w:type="dxa"/>
          </w:tcPr>
          <w:p w:rsidR="0043135B" w:rsidRDefault="0043135B" w:rsidP="00863609">
            <w:r>
              <w:t>13%</w:t>
            </w:r>
          </w:p>
        </w:tc>
        <w:tc>
          <w:tcPr>
            <w:tcW w:w="1057" w:type="dxa"/>
          </w:tcPr>
          <w:p w:rsidR="0043135B" w:rsidRDefault="0043135B" w:rsidP="00863609">
            <w:r>
              <w:t>19%</w:t>
            </w:r>
          </w:p>
        </w:tc>
      </w:tr>
      <w:tr w:rsidR="0043135B" w:rsidTr="00863609">
        <w:trPr>
          <w:trHeight w:val="300"/>
        </w:trPr>
        <w:tc>
          <w:tcPr>
            <w:tcW w:w="6434" w:type="dxa"/>
          </w:tcPr>
          <w:p w:rsidR="0043135B" w:rsidRDefault="0043135B" w:rsidP="00863609">
            <w:r>
              <w:t>Número de sedes intervenidas con mejoramientos</w:t>
            </w:r>
          </w:p>
        </w:tc>
        <w:tc>
          <w:tcPr>
            <w:tcW w:w="1337" w:type="dxa"/>
          </w:tcPr>
          <w:p w:rsidR="0043135B" w:rsidRDefault="0043135B" w:rsidP="00863609">
            <w:r>
              <w:t>68%</w:t>
            </w:r>
          </w:p>
        </w:tc>
        <w:tc>
          <w:tcPr>
            <w:tcW w:w="1057" w:type="dxa"/>
          </w:tcPr>
          <w:p w:rsidR="0043135B" w:rsidRDefault="0043135B" w:rsidP="00863609">
            <w:r>
              <w:t>22%</w:t>
            </w:r>
          </w:p>
        </w:tc>
      </w:tr>
      <w:tr w:rsidR="0043135B" w:rsidTr="00863609">
        <w:trPr>
          <w:trHeight w:val="300"/>
        </w:trPr>
        <w:tc>
          <w:tcPr>
            <w:tcW w:w="6434" w:type="dxa"/>
          </w:tcPr>
          <w:p w:rsidR="0043135B" w:rsidRDefault="0043135B" w:rsidP="00863609">
            <w:r>
              <w:t>Porcentaje de las infraestructuras de Unidades de Servicios de Salud mejoradas dotadas o repuestas</w:t>
            </w:r>
          </w:p>
        </w:tc>
        <w:tc>
          <w:tcPr>
            <w:tcW w:w="1337" w:type="dxa"/>
          </w:tcPr>
          <w:p w:rsidR="0043135B" w:rsidRDefault="0043135B" w:rsidP="00863609">
            <w:r>
              <w:t>16%</w:t>
            </w:r>
          </w:p>
        </w:tc>
        <w:tc>
          <w:tcPr>
            <w:tcW w:w="1057" w:type="dxa"/>
          </w:tcPr>
          <w:p w:rsidR="0043135B" w:rsidRDefault="0043135B" w:rsidP="00863609">
            <w:r>
              <w:t>29%</w:t>
            </w:r>
          </w:p>
        </w:tc>
      </w:tr>
      <w:tr w:rsidR="0043135B" w:rsidTr="00863609">
        <w:trPr>
          <w:trHeight w:val="300"/>
        </w:trPr>
        <w:tc>
          <w:tcPr>
            <w:tcW w:w="6434" w:type="dxa"/>
          </w:tcPr>
          <w:p w:rsidR="0043135B" w:rsidRDefault="0043135B" w:rsidP="00863609">
            <w:r>
              <w:t>Número de intervenciones en las unidades operativas para la prestación de servicios sociales</w:t>
            </w:r>
          </w:p>
        </w:tc>
        <w:tc>
          <w:tcPr>
            <w:tcW w:w="1337" w:type="dxa"/>
          </w:tcPr>
          <w:p w:rsidR="0043135B" w:rsidRDefault="0043135B" w:rsidP="00863609">
            <w:r>
              <w:t>84%</w:t>
            </w:r>
          </w:p>
        </w:tc>
        <w:tc>
          <w:tcPr>
            <w:tcW w:w="1057" w:type="dxa"/>
          </w:tcPr>
          <w:p w:rsidR="0043135B" w:rsidRDefault="0043135B" w:rsidP="00863609">
            <w:r>
              <w:t>45%</w:t>
            </w:r>
          </w:p>
        </w:tc>
      </w:tr>
    </w:tbl>
    <w:p w:rsidR="0043135B" w:rsidRDefault="0043135B" w:rsidP="0043135B">
      <w:pPr>
        <w:jc w:val="center"/>
        <w:rPr>
          <w:sz w:val="18"/>
          <w:szCs w:val="18"/>
        </w:rPr>
      </w:pPr>
      <w:r>
        <w:rPr>
          <w:b/>
          <w:bCs/>
          <w:sz w:val="18"/>
          <w:szCs w:val="18"/>
        </w:rPr>
        <w:t>Fuente:</w:t>
      </w:r>
      <w:r>
        <w:rPr>
          <w:sz w:val="18"/>
          <w:szCs w:val="18"/>
        </w:rPr>
        <w:t xml:space="preserve"> Reporte de Avance Fisico corte 30 de septiembre, información suministrada por la Secretaría Distrital de Planeación (2025). </w:t>
      </w:r>
    </w:p>
    <w:p w:rsidR="0043135B" w:rsidRDefault="0043135B" w:rsidP="0043135B">
      <w:pPr>
        <w:jc w:val="center"/>
      </w:pPr>
    </w:p>
    <w:p w:rsidR="0043135B" w:rsidRDefault="0043135B" w:rsidP="0043135B">
      <w:r>
        <w:t>Este es un retroceso de ciudad importante y un recurso no ejecutado que se requiere de manera urgente según los diagnósticos de ciudad que soportan el plan de desarrollo de Bogotá, en equipamientos sociales, de educación y servicios públicos.</w:t>
      </w:r>
    </w:p>
    <w:p w:rsidR="0043135B" w:rsidRDefault="0043135B" w:rsidP="0043135B"/>
    <w:p w:rsidR="0043135B" w:rsidRDefault="0043135B" w:rsidP="0043135B">
      <w:pPr>
        <w:rPr>
          <w:b/>
          <w:bCs/>
          <w:i/>
          <w:iCs/>
        </w:rPr>
      </w:pPr>
      <w:r>
        <w:rPr>
          <w:b/>
          <w:bCs/>
          <w:i/>
          <w:iCs/>
        </w:rPr>
        <w:t>Elementos de Inconsistencias de Ambiente en Bogotá</w:t>
      </w:r>
    </w:p>
    <w:p w:rsidR="0043135B" w:rsidRDefault="0043135B" w:rsidP="0043135B">
      <w:r>
        <w:t xml:space="preserve">Revisando a la Secretaría Distrital de Ambiente, en relación a sus metas, podemos ver lo siguiente: </w:t>
      </w:r>
    </w:p>
    <w:p w:rsidR="0043135B" w:rsidRDefault="0043135B" w:rsidP="0043135B">
      <w:pPr>
        <w:rPr>
          <w:b/>
          <w:bCs/>
          <w:i/>
          <w:iCs/>
        </w:rPr>
      </w:pPr>
    </w:p>
    <w:p w:rsidR="0043135B" w:rsidRDefault="0043135B" w:rsidP="0043135B">
      <w:pPr>
        <w:jc w:val="center"/>
      </w:pPr>
      <w:r>
        <w:rPr>
          <w:b/>
          <w:bCs/>
        </w:rPr>
        <w:t xml:space="preserve">Tabla 4. </w:t>
      </w:r>
      <w:r>
        <w:t>Avance Físico de Metas Secretaria Distrital de Ambiente</w:t>
      </w:r>
    </w:p>
    <w:tbl>
      <w:tblPr>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8"/>
        <w:gridCol w:w="3020"/>
        <w:gridCol w:w="2120"/>
      </w:tblGrid>
      <w:tr w:rsidR="0043135B" w:rsidTr="00863609">
        <w:trPr>
          <w:trHeight w:val="300"/>
        </w:trPr>
        <w:tc>
          <w:tcPr>
            <w:tcW w:w="3688" w:type="dxa"/>
          </w:tcPr>
          <w:p w:rsidR="0043135B" w:rsidRDefault="0043135B" w:rsidP="00863609">
            <w:pPr>
              <w:rPr>
                <w:b/>
                <w:bCs/>
              </w:rPr>
            </w:pPr>
            <w:r>
              <w:rPr>
                <w:b/>
                <w:bCs/>
              </w:rPr>
              <w:t>Metas Plan de Desarrollo Galán SD Ambiente</w:t>
            </w:r>
          </w:p>
        </w:tc>
        <w:tc>
          <w:tcPr>
            <w:tcW w:w="3020" w:type="dxa"/>
          </w:tcPr>
          <w:p w:rsidR="0043135B" w:rsidRDefault="0043135B" w:rsidP="00863609">
            <w:pPr>
              <w:rPr>
                <w:b/>
                <w:bCs/>
              </w:rPr>
            </w:pPr>
            <w:r>
              <w:rPr>
                <w:b/>
                <w:bCs/>
              </w:rPr>
              <w:t>AVANCE METAS VIGENCIA 2025</w:t>
            </w:r>
          </w:p>
        </w:tc>
        <w:tc>
          <w:tcPr>
            <w:tcW w:w="2120" w:type="dxa"/>
          </w:tcPr>
          <w:p w:rsidR="0043135B" w:rsidRDefault="0043135B" w:rsidP="00863609">
            <w:pPr>
              <w:rPr>
                <w:b/>
                <w:bCs/>
              </w:rPr>
            </w:pPr>
            <w:r>
              <w:rPr>
                <w:b/>
                <w:bCs/>
              </w:rPr>
              <w:t>AVANCE METAS PLAN</w:t>
            </w:r>
          </w:p>
        </w:tc>
      </w:tr>
      <w:tr w:rsidR="0043135B" w:rsidTr="00863609">
        <w:trPr>
          <w:trHeight w:val="600"/>
        </w:trPr>
        <w:tc>
          <w:tcPr>
            <w:tcW w:w="3688" w:type="dxa"/>
          </w:tcPr>
          <w:p w:rsidR="0043135B" w:rsidRDefault="0043135B" w:rsidP="00863609">
            <w:r>
              <w:t>Lograr 780 Hectárea(s) en proceso de restauración ecológica con planeación y ejecución participativas</w:t>
            </w:r>
          </w:p>
        </w:tc>
        <w:tc>
          <w:tcPr>
            <w:tcW w:w="3020" w:type="dxa"/>
          </w:tcPr>
          <w:p w:rsidR="0043135B" w:rsidRDefault="0043135B" w:rsidP="00863609">
            <w:r>
              <w:t>16%</w:t>
            </w:r>
          </w:p>
        </w:tc>
        <w:tc>
          <w:tcPr>
            <w:tcW w:w="2120" w:type="dxa"/>
          </w:tcPr>
          <w:p w:rsidR="0043135B" w:rsidRDefault="0043135B" w:rsidP="00863609">
            <w:r>
              <w:t>0%</w:t>
            </w:r>
          </w:p>
        </w:tc>
      </w:tr>
      <w:tr w:rsidR="0043135B" w:rsidTr="00863609">
        <w:trPr>
          <w:trHeight w:val="600"/>
        </w:trPr>
        <w:tc>
          <w:tcPr>
            <w:tcW w:w="3688" w:type="dxa"/>
          </w:tcPr>
          <w:p w:rsidR="0043135B" w:rsidRDefault="0043135B" w:rsidP="00863609">
            <w:r>
              <w:t>Realizar el 100% de las acciones para el mejoramiento de la capacidad de gestión pública del sector ambiente</w:t>
            </w:r>
          </w:p>
        </w:tc>
        <w:tc>
          <w:tcPr>
            <w:tcW w:w="3020" w:type="dxa"/>
          </w:tcPr>
          <w:p w:rsidR="0043135B" w:rsidRDefault="0043135B" w:rsidP="00863609">
            <w:r>
              <w:t>15%</w:t>
            </w:r>
          </w:p>
        </w:tc>
        <w:tc>
          <w:tcPr>
            <w:tcW w:w="2120" w:type="dxa"/>
          </w:tcPr>
          <w:p w:rsidR="0043135B" w:rsidRDefault="0043135B" w:rsidP="00863609">
            <w:r>
              <w:t>7%</w:t>
            </w:r>
          </w:p>
        </w:tc>
      </w:tr>
      <w:tr w:rsidR="0043135B" w:rsidTr="00863609">
        <w:trPr>
          <w:trHeight w:val="300"/>
        </w:trPr>
        <w:tc>
          <w:tcPr>
            <w:tcW w:w="3688" w:type="dxa"/>
          </w:tcPr>
          <w:p w:rsidR="0043135B" w:rsidRDefault="0043135B" w:rsidP="00863609">
            <w:r>
              <w:t>Desarrollar 1 Estrategia(s) de renovación urbana verde con coberturas vegetales biodiversas</w:t>
            </w:r>
          </w:p>
        </w:tc>
        <w:tc>
          <w:tcPr>
            <w:tcW w:w="3020" w:type="dxa"/>
          </w:tcPr>
          <w:p w:rsidR="0043135B" w:rsidRDefault="0043135B" w:rsidP="00863609">
            <w:r>
              <w:t>23%</w:t>
            </w:r>
          </w:p>
        </w:tc>
        <w:tc>
          <w:tcPr>
            <w:tcW w:w="2120" w:type="dxa"/>
          </w:tcPr>
          <w:p w:rsidR="0043135B" w:rsidRDefault="0043135B" w:rsidP="00863609">
            <w:r>
              <w:t>10%</w:t>
            </w:r>
          </w:p>
        </w:tc>
      </w:tr>
      <w:tr w:rsidR="0043135B" w:rsidTr="00863609">
        <w:trPr>
          <w:trHeight w:val="300"/>
        </w:trPr>
        <w:tc>
          <w:tcPr>
            <w:tcW w:w="3688" w:type="dxa"/>
          </w:tcPr>
          <w:p w:rsidR="0043135B" w:rsidRDefault="0043135B" w:rsidP="00863609">
            <w:r>
              <w:t>Implementar 3 Programa(s) de información ambiental y conocimiento ambiental</w:t>
            </w:r>
          </w:p>
        </w:tc>
        <w:tc>
          <w:tcPr>
            <w:tcW w:w="3020" w:type="dxa"/>
          </w:tcPr>
          <w:p w:rsidR="0043135B" w:rsidRDefault="0043135B" w:rsidP="00863609">
            <w:r>
              <w:t>26%</w:t>
            </w:r>
          </w:p>
        </w:tc>
        <w:tc>
          <w:tcPr>
            <w:tcW w:w="2120" w:type="dxa"/>
          </w:tcPr>
          <w:p w:rsidR="0043135B" w:rsidRDefault="0043135B" w:rsidP="00863609">
            <w:r>
              <w:t>11%</w:t>
            </w:r>
          </w:p>
        </w:tc>
      </w:tr>
      <w:tr w:rsidR="0043135B" w:rsidTr="00863609">
        <w:trPr>
          <w:trHeight w:val="600"/>
        </w:trPr>
        <w:tc>
          <w:tcPr>
            <w:tcW w:w="3688" w:type="dxa"/>
          </w:tcPr>
          <w:p w:rsidR="0043135B" w:rsidRDefault="0043135B" w:rsidP="00863609">
            <w:r>
              <w:t>Realizar 1182 Proceso(s) de participación ciudadana para la mitigación de las situaciones ambientales conflictivas y para la gestión comunitaria del riesgo de desastres</w:t>
            </w:r>
          </w:p>
        </w:tc>
        <w:tc>
          <w:tcPr>
            <w:tcW w:w="3020" w:type="dxa"/>
          </w:tcPr>
          <w:p w:rsidR="0043135B" w:rsidRDefault="0043135B" w:rsidP="00863609">
            <w:r>
              <w:t>48%</w:t>
            </w:r>
          </w:p>
        </w:tc>
        <w:tc>
          <w:tcPr>
            <w:tcW w:w="2120" w:type="dxa"/>
          </w:tcPr>
          <w:p w:rsidR="0043135B" w:rsidRDefault="0043135B" w:rsidP="00863609">
            <w:r>
              <w:t>20%</w:t>
            </w:r>
          </w:p>
        </w:tc>
      </w:tr>
      <w:tr w:rsidR="0043135B" w:rsidTr="00863609">
        <w:trPr>
          <w:trHeight w:val="600"/>
        </w:trPr>
        <w:tc>
          <w:tcPr>
            <w:tcW w:w="3688" w:type="dxa"/>
          </w:tcPr>
          <w:p w:rsidR="0043135B" w:rsidRDefault="0043135B" w:rsidP="00863609">
            <w:r>
              <w:t>Adelantar 52200 Actuación(es) del procedimiento sancionatorio ambiental y del trámite de licenciamiento ambiental</w:t>
            </w:r>
          </w:p>
        </w:tc>
        <w:tc>
          <w:tcPr>
            <w:tcW w:w="3020" w:type="dxa"/>
          </w:tcPr>
          <w:p w:rsidR="0043135B" w:rsidRDefault="0043135B" w:rsidP="00863609">
            <w:r>
              <w:t>42%</w:t>
            </w:r>
          </w:p>
        </w:tc>
        <w:tc>
          <w:tcPr>
            <w:tcW w:w="2120" w:type="dxa"/>
          </w:tcPr>
          <w:p w:rsidR="0043135B" w:rsidRDefault="0043135B" w:rsidP="00863609">
            <w:r>
              <w:t>20%</w:t>
            </w:r>
          </w:p>
        </w:tc>
      </w:tr>
      <w:tr w:rsidR="0043135B" w:rsidTr="00863609">
        <w:trPr>
          <w:trHeight w:val="900"/>
        </w:trPr>
        <w:tc>
          <w:tcPr>
            <w:tcW w:w="3688" w:type="dxa"/>
          </w:tcPr>
          <w:p w:rsidR="0043135B" w:rsidRDefault="0043135B" w:rsidP="00863609">
            <w:r>
              <w:t>Implementar 1 Programa(s) para el control ambiental en predios en los que se desarrollan o desarrollaron actividades extractivas industriales comerciales y de servicios con potencial afectación al recurso suelo</w:t>
            </w:r>
          </w:p>
        </w:tc>
        <w:tc>
          <w:tcPr>
            <w:tcW w:w="3020" w:type="dxa"/>
          </w:tcPr>
          <w:p w:rsidR="0043135B" w:rsidRDefault="0043135B" w:rsidP="00863609">
            <w:r>
              <w:t>52%</w:t>
            </w:r>
          </w:p>
        </w:tc>
        <w:tc>
          <w:tcPr>
            <w:tcW w:w="2120" w:type="dxa"/>
          </w:tcPr>
          <w:p w:rsidR="0043135B" w:rsidRDefault="0043135B" w:rsidP="00863609">
            <w:r>
              <w:t>25%</w:t>
            </w:r>
          </w:p>
        </w:tc>
      </w:tr>
      <w:tr w:rsidR="0043135B" w:rsidTr="00863609">
        <w:trPr>
          <w:trHeight w:val="600"/>
        </w:trPr>
        <w:tc>
          <w:tcPr>
            <w:tcW w:w="3688" w:type="dxa"/>
          </w:tcPr>
          <w:p w:rsidR="0043135B" w:rsidRDefault="0043135B" w:rsidP="00863609">
            <w:r>
              <w:t>Intervenir 2500 Hectárea(s) de conectores ecosistémicos para aumentar la conectividad de los elementos de la Estructura Ecológica Principal</w:t>
            </w:r>
          </w:p>
        </w:tc>
        <w:tc>
          <w:tcPr>
            <w:tcW w:w="3020" w:type="dxa"/>
          </w:tcPr>
          <w:p w:rsidR="0043135B" w:rsidRDefault="0043135B" w:rsidP="00863609">
            <w:r>
              <w:t>68%</w:t>
            </w:r>
          </w:p>
        </w:tc>
        <w:tc>
          <w:tcPr>
            <w:tcW w:w="2120" w:type="dxa"/>
          </w:tcPr>
          <w:p w:rsidR="0043135B" w:rsidRDefault="0043135B" w:rsidP="00863609">
            <w:r>
              <w:t>27%</w:t>
            </w:r>
          </w:p>
        </w:tc>
      </w:tr>
      <w:tr w:rsidR="0043135B" w:rsidTr="00863609">
        <w:trPr>
          <w:trHeight w:val="600"/>
        </w:trPr>
        <w:tc>
          <w:tcPr>
            <w:tcW w:w="3688" w:type="dxa"/>
          </w:tcPr>
          <w:p w:rsidR="0043135B" w:rsidRDefault="0043135B" w:rsidP="00863609">
            <w:r>
              <w:t>Vincular 2302200 Persona(s) en acciones de educación ambiental para la conservación de la biodiversidad, el agua y la gestión de riesgos de desastres</w:t>
            </w:r>
          </w:p>
        </w:tc>
        <w:tc>
          <w:tcPr>
            <w:tcW w:w="3020" w:type="dxa"/>
          </w:tcPr>
          <w:p w:rsidR="0043135B" w:rsidRDefault="0043135B" w:rsidP="00863609">
            <w:r>
              <w:t>56%</w:t>
            </w:r>
          </w:p>
        </w:tc>
        <w:tc>
          <w:tcPr>
            <w:tcW w:w="2120" w:type="dxa"/>
          </w:tcPr>
          <w:p w:rsidR="0043135B" w:rsidRDefault="0043135B" w:rsidP="00863609">
            <w:r>
              <w:t>28%</w:t>
            </w:r>
          </w:p>
        </w:tc>
      </w:tr>
      <w:tr w:rsidR="0043135B" w:rsidTr="00863609">
        <w:trPr>
          <w:trHeight w:val="600"/>
        </w:trPr>
        <w:tc>
          <w:tcPr>
            <w:tcW w:w="3688" w:type="dxa"/>
          </w:tcPr>
          <w:p w:rsidR="0043135B" w:rsidRDefault="0043135B" w:rsidP="00863609">
            <w:r>
              <w:t>Implementar 1 Programa(s) de control, evaluación y seguimiento para proteger el arbolado urbano, la flora y la fauna silvestre, y prevenir su tráfico ilegal</w:t>
            </w:r>
          </w:p>
        </w:tc>
        <w:tc>
          <w:tcPr>
            <w:tcW w:w="3020" w:type="dxa"/>
          </w:tcPr>
          <w:p w:rsidR="0043135B" w:rsidRDefault="0043135B" w:rsidP="00863609">
            <w:r>
              <w:t>61%</w:t>
            </w:r>
          </w:p>
        </w:tc>
        <w:tc>
          <w:tcPr>
            <w:tcW w:w="2120" w:type="dxa"/>
          </w:tcPr>
          <w:p w:rsidR="0043135B" w:rsidRDefault="0043135B" w:rsidP="00863609">
            <w:r>
              <w:t>28%</w:t>
            </w:r>
          </w:p>
        </w:tc>
      </w:tr>
      <w:tr w:rsidR="0043135B" w:rsidTr="00863609">
        <w:trPr>
          <w:trHeight w:val="300"/>
        </w:trPr>
        <w:tc>
          <w:tcPr>
            <w:tcW w:w="3688" w:type="dxa"/>
          </w:tcPr>
          <w:p w:rsidR="0043135B" w:rsidRDefault="0043135B" w:rsidP="00863609">
            <w:r>
              <w:t>Conservar 2000 Hectárea(s) de la Estructura Ecológica Principal del D.C.</w:t>
            </w:r>
          </w:p>
        </w:tc>
        <w:tc>
          <w:tcPr>
            <w:tcW w:w="3020" w:type="dxa"/>
          </w:tcPr>
          <w:p w:rsidR="0043135B" w:rsidRDefault="0043135B" w:rsidP="00863609">
            <w:r>
              <w:t>52%</w:t>
            </w:r>
          </w:p>
        </w:tc>
        <w:tc>
          <w:tcPr>
            <w:tcW w:w="2120" w:type="dxa"/>
          </w:tcPr>
          <w:p w:rsidR="0043135B" w:rsidRDefault="0043135B" w:rsidP="00863609">
            <w:r>
              <w:t>30%</w:t>
            </w:r>
          </w:p>
        </w:tc>
      </w:tr>
      <w:tr w:rsidR="0043135B" w:rsidTr="00863609">
        <w:trPr>
          <w:trHeight w:val="600"/>
        </w:trPr>
        <w:tc>
          <w:tcPr>
            <w:tcW w:w="3688" w:type="dxa"/>
          </w:tcPr>
          <w:p w:rsidR="0043135B" w:rsidRDefault="0043135B" w:rsidP="00863609">
            <w:r>
              <w:t>Implementar 1 Programa(s) de control y planificación sobre el recurso hídrico y sus factores de impacto en el D.C.</w:t>
            </w:r>
          </w:p>
        </w:tc>
        <w:tc>
          <w:tcPr>
            <w:tcW w:w="3020" w:type="dxa"/>
          </w:tcPr>
          <w:p w:rsidR="0043135B" w:rsidRDefault="0043135B" w:rsidP="00863609">
            <w:r>
              <w:t>71%</w:t>
            </w:r>
          </w:p>
        </w:tc>
        <w:tc>
          <w:tcPr>
            <w:tcW w:w="2120" w:type="dxa"/>
          </w:tcPr>
          <w:p w:rsidR="0043135B" w:rsidRDefault="0043135B" w:rsidP="00863609">
            <w:r>
              <w:t>31%</w:t>
            </w:r>
          </w:p>
        </w:tc>
      </w:tr>
      <w:tr w:rsidR="0043135B" w:rsidTr="00863609">
        <w:trPr>
          <w:trHeight w:val="600"/>
        </w:trPr>
        <w:tc>
          <w:tcPr>
            <w:tcW w:w="3688" w:type="dxa"/>
          </w:tcPr>
          <w:p w:rsidR="0043135B" w:rsidRDefault="0043135B" w:rsidP="00863609">
            <w:r>
              <w:t>Controlar 25200 Usuario(s) generadores de residuos especiales peligrosos y de manejo diferenciado</w:t>
            </w:r>
          </w:p>
        </w:tc>
        <w:tc>
          <w:tcPr>
            <w:tcW w:w="3020" w:type="dxa"/>
          </w:tcPr>
          <w:p w:rsidR="0043135B" w:rsidRDefault="0043135B" w:rsidP="00863609">
            <w:r>
              <w:t>73%</w:t>
            </w:r>
          </w:p>
        </w:tc>
        <w:tc>
          <w:tcPr>
            <w:tcW w:w="2120" w:type="dxa"/>
          </w:tcPr>
          <w:p w:rsidR="0043135B" w:rsidRDefault="0043135B" w:rsidP="00863609">
            <w:r>
              <w:t>32%</w:t>
            </w:r>
          </w:p>
        </w:tc>
      </w:tr>
      <w:tr w:rsidR="0043135B" w:rsidTr="00863609">
        <w:trPr>
          <w:trHeight w:val="300"/>
        </w:trPr>
        <w:tc>
          <w:tcPr>
            <w:tcW w:w="3688" w:type="dxa"/>
          </w:tcPr>
          <w:p w:rsidR="0043135B" w:rsidRDefault="0043135B" w:rsidP="00863609">
            <w:r>
              <w:t>Implementar 1 Programa(s) para mejorar la calidad del aire acústica y visual</w:t>
            </w:r>
          </w:p>
        </w:tc>
        <w:tc>
          <w:tcPr>
            <w:tcW w:w="3020" w:type="dxa"/>
          </w:tcPr>
          <w:p w:rsidR="0043135B" w:rsidRDefault="0043135B" w:rsidP="00863609">
            <w:r>
              <w:t>75%</w:t>
            </w:r>
          </w:p>
        </w:tc>
        <w:tc>
          <w:tcPr>
            <w:tcW w:w="2120" w:type="dxa"/>
          </w:tcPr>
          <w:p w:rsidR="0043135B" w:rsidRDefault="0043135B" w:rsidP="00863609">
            <w:r>
              <w:t>33%</w:t>
            </w:r>
          </w:p>
        </w:tc>
      </w:tr>
      <w:tr w:rsidR="0043135B" w:rsidTr="00863609">
        <w:trPr>
          <w:trHeight w:val="300"/>
        </w:trPr>
        <w:tc>
          <w:tcPr>
            <w:tcW w:w="3688" w:type="dxa"/>
          </w:tcPr>
          <w:p w:rsidR="0043135B" w:rsidRDefault="0043135B" w:rsidP="00863609">
            <w:r>
              <w:t>Implementar 1 Programa(s) de Planeación y Gestión del Conocimiento Ambiental</w:t>
            </w:r>
          </w:p>
        </w:tc>
        <w:tc>
          <w:tcPr>
            <w:tcW w:w="3020" w:type="dxa"/>
          </w:tcPr>
          <w:p w:rsidR="0043135B" w:rsidRDefault="0043135B" w:rsidP="00863609">
            <w:r>
              <w:t>77%</w:t>
            </w:r>
          </w:p>
        </w:tc>
        <w:tc>
          <w:tcPr>
            <w:tcW w:w="2120" w:type="dxa"/>
          </w:tcPr>
          <w:p w:rsidR="0043135B" w:rsidRDefault="0043135B" w:rsidP="00863609">
            <w:r>
              <w:t>33%</w:t>
            </w:r>
          </w:p>
        </w:tc>
      </w:tr>
      <w:tr w:rsidR="0043135B" w:rsidTr="00863609">
        <w:trPr>
          <w:trHeight w:val="300"/>
        </w:trPr>
        <w:tc>
          <w:tcPr>
            <w:tcW w:w="3688" w:type="dxa"/>
          </w:tcPr>
          <w:p w:rsidR="0043135B" w:rsidRDefault="0043135B" w:rsidP="00863609">
            <w:r>
              <w:t>Implementar 1 Programa(s) para el control de la Estructura Ecológica Principal</w:t>
            </w:r>
          </w:p>
        </w:tc>
        <w:tc>
          <w:tcPr>
            <w:tcW w:w="3020" w:type="dxa"/>
          </w:tcPr>
          <w:p w:rsidR="0043135B" w:rsidRDefault="0043135B" w:rsidP="00863609">
            <w:r>
              <w:t>77%</w:t>
            </w:r>
          </w:p>
        </w:tc>
        <w:tc>
          <w:tcPr>
            <w:tcW w:w="2120" w:type="dxa"/>
          </w:tcPr>
          <w:p w:rsidR="0043135B" w:rsidRDefault="0043135B" w:rsidP="00863609">
            <w:r>
              <w:t>33%</w:t>
            </w:r>
          </w:p>
        </w:tc>
      </w:tr>
      <w:tr w:rsidR="0043135B" w:rsidTr="00863609">
        <w:trPr>
          <w:trHeight w:val="300"/>
        </w:trPr>
        <w:tc>
          <w:tcPr>
            <w:tcW w:w="3688" w:type="dxa"/>
          </w:tcPr>
          <w:p w:rsidR="0043135B" w:rsidRDefault="0043135B" w:rsidP="00863609">
            <w:r>
              <w:t>Incorporar en 1700 Proyecto(s) los criterios de ecourbanismo producción y consumo sostenible</w:t>
            </w:r>
          </w:p>
        </w:tc>
        <w:tc>
          <w:tcPr>
            <w:tcW w:w="3020" w:type="dxa"/>
          </w:tcPr>
          <w:p w:rsidR="0043135B" w:rsidRDefault="0043135B" w:rsidP="00863609">
            <w:r>
              <w:t>74%</w:t>
            </w:r>
          </w:p>
        </w:tc>
        <w:tc>
          <w:tcPr>
            <w:tcW w:w="2120" w:type="dxa"/>
          </w:tcPr>
          <w:p w:rsidR="0043135B" w:rsidRDefault="0043135B" w:rsidP="00863609">
            <w:r>
              <w:t>33%</w:t>
            </w:r>
          </w:p>
        </w:tc>
      </w:tr>
      <w:tr w:rsidR="0043135B" w:rsidTr="00863609">
        <w:trPr>
          <w:trHeight w:val="600"/>
        </w:trPr>
        <w:tc>
          <w:tcPr>
            <w:tcW w:w="3688" w:type="dxa"/>
          </w:tcPr>
          <w:p w:rsidR="0043135B" w:rsidRDefault="0043135B" w:rsidP="00863609">
            <w:r>
              <w:t>Implementar 1 Programa(s) para reducir la vulnerabilidad a riesgos climáticos en las áreas de importancia ambiental estratégica y en la estructura ecológica principal del Distrito Capital</w:t>
            </w:r>
          </w:p>
        </w:tc>
        <w:tc>
          <w:tcPr>
            <w:tcW w:w="3020" w:type="dxa"/>
          </w:tcPr>
          <w:p w:rsidR="0043135B" w:rsidRDefault="0043135B" w:rsidP="00863609">
            <w:r>
              <w:t>70%</w:t>
            </w:r>
          </w:p>
        </w:tc>
        <w:tc>
          <w:tcPr>
            <w:tcW w:w="2120" w:type="dxa"/>
          </w:tcPr>
          <w:p w:rsidR="0043135B" w:rsidRDefault="0043135B" w:rsidP="00863609">
            <w:r>
              <w:t>34%</w:t>
            </w:r>
          </w:p>
        </w:tc>
      </w:tr>
      <w:tr w:rsidR="0043135B" w:rsidTr="00863609">
        <w:trPr>
          <w:trHeight w:val="300"/>
        </w:trPr>
        <w:tc>
          <w:tcPr>
            <w:tcW w:w="3688" w:type="dxa"/>
          </w:tcPr>
          <w:p w:rsidR="0043135B" w:rsidRDefault="0043135B" w:rsidP="00863609">
            <w:r>
              <w:t>Gestionar las 32 Área(s) protegidas del orden distrital</w:t>
            </w:r>
          </w:p>
        </w:tc>
        <w:tc>
          <w:tcPr>
            <w:tcW w:w="3020" w:type="dxa"/>
          </w:tcPr>
          <w:p w:rsidR="0043135B" w:rsidRDefault="0043135B" w:rsidP="00863609">
            <w:r>
              <w:t>100%</w:t>
            </w:r>
          </w:p>
        </w:tc>
        <w:tc>
          <w:tcPr>
            <w:tcW w:w="2120" w:type="dxa"/>
          </w:tcPr>
          <w:p w:rsidR="0043135B" w:rsidRDefault="0043135B" w:rsidP="00863609">
            <w:r>
              <w:t>50%</w:t>
            </w:r>
          </w:p>
        </w:tc>
      </w:tr>
      <w:tr w:rsidR="0043135B" w:rsidTr="00863609">
        <w:trPr>
          <w:trHeight w:val="300"/>
        </w:trPr>
        <w:tc>
          <w:tcPr>
            <w:tcW w:w="3688" w:type="dxa"/>
          </w:tcPr>
          <w:p w:rsidR="0043135B" w:rsidRDefault="0043135B" w:rsidP="00863609">
            <w:r>
              <w:t>Implementar 2 Zona(s) Urbanas por un Mejor Aire</w:t>
            </w:r>
          </w:p>
        </w:tc>
        <w:tc>
          <w:tcPr>
            <w:tcW w:w="3020" w:type="dxa"/>
          </w:tcPr>
          <w:p w:rsidR="0043135B" w:rsidRDefault="0043135B" w:rsidP="00863609">
            <w:r>
              <w:t>70%</w:t>
            </w:r>
          </w:p>
        </w:tc>
        <w:tc>
          <w:tcPr>
            <w:tcW w:w="2120" w:type="dxa"/>
          </w:tcPr>
          <w:p w:rsidR="0043135B" w:rsidRDefault="0043135B" w:rsidP="00863609">
            <w:r>
              <w:t>53%</w:t>
            </w:r>
          </w:p>
        </w:tc>
      </w:tr>
      <w:tr w:rsidR="0043135B" w:rsidTr="00863609">
        <w:trPr>
          <w:trHeight w:val="600"/>
        </w:trPr>
        <w:tc>
          <w:tcPr>
            <w:tcW w:w="3688" w:type="dxa"/>
          </w:tcPr>
          <w:p w:rsidR="0043135B" w:rsidRDefault="0043135B" w:rsidP="00863609">
            <w:r>
              <w:t>Implementar 1 Instrumento(s) financiero para la renovación del parque automotor de los vehículos de transporte de carga (FonCarga)</w:t>
            </w:r>
          </w:p>
        </w:tc>
        <w:tc>
          <w:tcPr>
            <w:tcW w:w="3020" w:type="dxa"/>
          </w:tcPr>
          <w:p w:rsidR="0043135B" w:rsidRDefault="0043135B" w:rsidP="00863609">
            <w:r>
              <w:t>88%</w:t>
            </w:r>
          </w:p>
        </w:tc>
        <w:tc>
          <w:tcPr>
            <w:tcW w:w="2120" w:type="dxa"/>
          </w:tcPr>
          <w:p w:rsidR="0043135B" w:rsidRDefault="0043135B" w:rsidP="00863609">
            <w:r>
              <w:t>53%</w:t>
            </w:r>
          </w:p>
        </w:tc>
      </w:tr>
    </w:tbl>
    <w:p w:rsidR="0043135B" w:rsidRDefault="0043135B" w:rsidP="0043135B">
      <w:pPr>
        <w:jc w:val="center"/>
      </w:pPr>
      <w:r>
        <w:rPr>
          <w:b/>
          <w:bCs/>
          <w:sz w:val="18"/>
          <w:szCs w:val="18"/>
        </w:rPr>
        <w:t>Fuente:</w:t>
      </w:r>
      <w:r>
        <w:rPr>
          <w:sz w:val="18"/>
          <w:szCs w:val="18"/>
        </w:rPr>
        <w:t xml:space="preserve"> Reporte de Avance Fisico corte 30 de septiembre, información suministrada por la Secretaría Distrital de Planeación (2025). </w:t>
      </w:r>
    </w:p>
    <w:p w:rsidR="0043135B" w:rsidRDefault="0043135B" w:rsidP="0043135B">
      <w:pPr>
        <w:jc w:val="both"/>
      </w:pPr>
      <w:r>
        <w:t xml:space="preserve">Una vez revisada la anterior tabla es importante señalar, algunos elementos estructurales sobre el estado de ambiente en Bogotá son: </w:t>
      </w:r>
    </w:p>
    <w:p w:rsidR="0043135B" w:rsidRDefault="0043135B" w:rsidP="0043135B">
      <w:pPr>
        <w:numPr>
          <w:ilvl w:val="0"/>
          <w:numId w:val="74"/>
        </w:numPr>
        <w:spacing w:line="259" w:lineRule="auto"/>
        <w:jc w:val="both"/>
      </w:pPr>
      <w:r>
        <w:t>Pérdida Histórica: Se estima que más del 35% de los humedales de la Sabana se han perdido en los últimos 50 años debido a la urbanización, desecación y rellenos ilegales.</w:t>
      </w:r>
    </w:p>
    <w:p w:rsidR="0043135B" w:rsidRDefault="0043135B" w:rsidP="0043135B">
      <w:pPr>
        <w:numPr>
          <w:ilvl w:val="0"/>
          <w:numId w:val="74"/>
        </w:numPr>
        <w:spacing w:line="259" w:lineRule="auto"/>
        <w:jc w:val="both"/>
      </w:pPr>
      <w:r>
        <w:t>Contaminación: A nivel nacional, se reporta que hasta el 80% de las aguas residuales de las ciudades colombianas son vertidas en los humedales, impactando directamente la calidad del agua en Bogotá.</w:t>
      </w:r>
    </w:p>
    <w:p w:rsidR="0043135B" w:rsidRDefault="0043135B" w:rsidP="0043135B">
      <w:pPr>
        <w:numPr>
          <w:ilvl w:val="0"/>
          <w:numId w:val="74"/>
        </w:numPr>
        <w:spacing w:line="259" w:lineRule="auto"/>
        <w:jc w:val="both"/>
      </w:pPr>
      <w:r>
        <w:t>Pérdida de Espejos de Agua (Dato Histórico Relevante): En un estudio de la UNAL, se señala que la superficie de espejos de agua en los humedales tuvo una pérdida crítica, pasando de 142 hectáreas (6,92%) en 1940 a solo 74 hectáreas (3,61%) en el año 2000, una tendencia que la presión urbana continúa acentuando.</w:t>
      </w:r>
    </w:p>
    <w:p w:rsidR="0043135B" w:rsidRDefault="0043135B" w:rsidP="0043135B">
      <w:pPr>
        <w:numPr>
          <w:ilvl w:val="0"/>
          <w:numId w:val="74"/>
        </w:numPr>
        <w:spacing w:after="160" w:line="259" w:lineRule="auto"/>
        <w:jc w:val="both"/>
      </w:pPr>
      <w:r>
        <w:t>Residuos Retirados: Entre junio y diciembre de 2024, la Empresa de Acueducto y Alcantarillado de Bogotá (EAAB) recogió un total de 218 toneladas de residuos en las 17 Reservas Distritales de Humedal, lo que subraya la constante amenaza por basuras y vertimientos.</w:t>
      </w:r>
    </w:p>
    <w:p w:rsidR="0043135B" w:rsidRDefault="0043135B" w:rsidP="0043135B">
      <w:pPr>
        <w:jc w:val="both"/>
      </w:pPr>
      <w:r>
        <w:t xml:space="preserve">En  conclusión, la restauración ecológica y la participación ciudadana ambiental son las afectadas de manera negativa en lo avanzado del plan de desarrollo de Galán. </w:t>
      </w:r>
    </w:p>
    <w:p w:rsidR="0043135B" w:rsidRDefault="0043135B" w:rsidP="0043135B">
      <w:pPr>
        <w:jc w:val="both"/>
      </w:pPr>
    </w:p>
    <w:p w:rsidR="0043135B" w:rsidRDefault="0043135B" w:rsidP="0043135B">
      <w:pPr>
        <w:rPr>
          <w:b/>
          <w:bCs/>
          <w:i/>
          <w:iCs/>
        </w:rPr>
      </w:pPr>
      <w:r>
        <w:rPr>
          <w:b/>
          <w:bCs/>
          <w:i/>
          <w:iCs/>
        </w:rPr>
        <w:t>Elementos de Inconsistencias de Movilidad en Bogotá</w:t>
      </w:r>
    </w:p>
    <w:p w:rsidR="0043135B" w:rsidRDefault="0043135B" w:rsidP="0043135B">
      <w:pPr>
        <w:jc w:val="both"/>
      </w:pPr>
      <w:r>
        <w:t>Bogotá mantiene su liderazgo negativo a nivel mundial en pérdida de tiempo y baja velocidad promedio.</w:t>
      </w:r>
    </w:p>
    <w:p w:rsidR="0043135B" w:rsidRDefault="0043135B" w:rsidP="0043135B">
      <w:pPr>
        <w:numPr>
          <w:ilvl w:val="0"/>
          <w:numId w:val="69"/>
        </w:numPr>
        <w:spacing w:line="259" w:lineRule="auto"/>
        <w:jc w:val="both"/>
      </w:pPr>
      <w:r>
        <w:t>Pérdida de Tiempo (Wasted Time): La ciudad figura consistentemente en los primeros puestos a nivel global (según índices de INRIX o TomTom) por la cantidad de horas hombre perdidas anualmente en trancones, cifra que a menudo supera las 100 horas por conductor en horas pico.</w:t>
      </w:r>
    </w:p>
    <w:p w:rsidR="0043135B" w:rsidRDefault="0043135B" w:rsidP="0043135B">
      <w:pPr>
        <w:numPr>
          <w:ilvl w:val="0"/>
          <w:numId w:val="69"/>
        </w:numPr>
        <w:spacing w:line="259" w:lineRule="auto"/>
        <w:jc w:val="both"/>
      </w:pPr>
      <w:r>
        <w:t>Velocidad Promedio Crítica: La velocidad media del tráfico en horas pico en los corredores principales se mantiene en un rango extremadamente bajo, a menudo por debajo de los 18 km/h, lo que genera ineficiencia y contaminación.</w:t>
      </w:r>
    </w:p>
    <w:p w:rsidR="0043135B" w:rsidRDefault="0043135B" w:rsidP="0043135B">
      <w:pPr>
        <w:numPr>
          <w:ilvl w:val="0"/>
          <w:numId w:val="69"/>
        </w:numPr>
        <w:spacing w:after="160" w:line="259" w:lineRule="auto"/>
        <w:jc w:val="both"/>
      </w:pPr>
      <w:r>
        <w:t>Causa Agravada (2025): La simultaneidad de obras (Metro, Av. 68, Av. Ciudad de Cali) ha cerrado carriles clave, exacerbando los cuellos de botella y desviando el tráfico a vías secundarias sin la capacidad necesaria, generando un efecto dominó de congestión en toda la ciudad.</w:t>
      </w:r>
    </w:p>
    <w:p w:rsidR="0043135B" w:rsidRDefault="0043135B" w:rsidP="0043135B">
      <w:pPr>
        <w:jc w:val="both"/>
      </w:pPr>
      <w:r>
        <w:t xml:space="preserve">Ahora bien, revisando el avance de físico de las metas del Plan de Desarrollo de Bogotá </w:t>
      </w:r>
    </w:p>
    <w:p w:rsidR="0043135B" w:rsidRDefault="0043135B" w:rsidP="0043135B">
      <w:pPr>
        <w:jc w:val="center"/>
      </w:pPr>
      <w:r>
        <w:rPr>
          <w:b/>
          <w:bCs/>
        </w:rPr>
        <w:t xml:space="preserve">Tabla 3. </w:t>
      </w:r>
      <w:r>
        <w:t>Avance Físico de Metas Secretaria Distrital de Movilidad menores al 34% de avance físico de sus metas asignadas</w:t>
      </w:r>
    </w:p>
    <w:tbl>
      <w:tblPr>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8"/>
        <w:gridCol w:w="3020"/>
        <w:gridCol w:w="2120"/>
      </w:tblGrid>
      <w:tr w:rsidR="0043135B" w:rsidTr="00863609">
        <w:trPr>
          <w:trHeight w:val="300"/>
        </w:trPr>
        <w:tc>
          <w:tcPr>
            <w:tcW w:w="3688" w:type="dxa"/>
          </w:tcPr>
          <w:p w:rsidR="0043135B" w:rsidRDefault="0043135B" w:rsidP="00863609">
            <w:pPr>
              <w:rPr>
                <w:b/>
                <w:bCs/>
              </w:rPr>
            </w:pPr>
            <w:r>
              <w:rPr>
                <w:b/>
                <w:bCs/>
              </w:rPr>
              <w:t>Metas Plan de Desarrollo Galán Movilidad</w:t>
            </w:r>
          </w:p>
        </w:tc>
        <w:tc>
          <w:tcPr>
            <w:tcW w:w="3020" w:type="dxa"/>
          </w:tcPr>
          <w:p w:rsidR="0043135B" w:rsidRDefault="0043135B" w:rsidP="00863609">
            <w:pPr>
              <w:rPr>
                <w:b/>
                <w:bCs/>
              </w:rPr>
            </w:pPr>
            <w:r>
              <w:rPr>
                <w:b/>
                <w:bCs/>
              </w:rPr>
              <w:t>AVANCE METAS VIGENCIA 2025</w:t>
            </w:r>
          </w:p>
        </w:tc>
        <w:tc>
          <w:tcPr>
            <w:tcW w:w="2120" w:type="dxa"/>
          </w:tcPr>
          <w:p w:rsidR="0043135B" w:rsidRDefault="0043135B" w:rsidP="00863609">
            <w:pPr>
              <w:rPr>
                <w:b/>
                <w:bCs/>
              </w:rPr>
            </w:pPr>
            <w:r>
              <w:rPr>
                <w:b/>
                <w:bCs/>
              </w:rPr>
              <w:t>AVANCE METAS PLAN</w:t>
            </w:r>
          </w:p>
        </w:tc>
      </w:tr>
      <w:tr w:rsidR="0043135B" w:rsidTr="00863609">
        <w:trPr>
          <w:trHeight w:val="600"/>
        </w:trPr>
        <w:tc>
          <w:tcPr>
            <w:tcW w:w="3688" w:type="dxa"/>
          </w:tcPr>
          <w:p w:rsidR="0043135B" w:rsidRDefault="0043135B" w:rsidP="00863609">
            <w:r>
              <w:t>Implementar 3 Acción(es) para promover la renovación tecnológica de transporte de carga hacia una tecnología de cero y bajas emisiones</w:t>
            </w:r>
          </w:p>
        </w:tc>
        <w:tc>
          <w:tcPr>
            <w:tcW w:w="3020" w:type="dxa"/>
          </w:tcPr>
          <w:p w:rsidR="0043135B" w:rsidRDefault="0043135B" w:rsidP="00863609">
            <w:r>
              <w:t>0%</w:t>
            </w:r>
          </w:p>
        </w:tc>
        <w:tc>
          <w:tcPr>
            <w:tcW w:w="2120" w:type="dxa"/>
          </w:tcPr>
          <w:p w:rsidR="0043135B" w:rsidRDefault="0043135B" w:rsidP="00863609">
            <w:r>
              <w:t>0%</w:t>
            </w:r>
          </w:p>
        </w:tc>
      </w:tr>
      <w:tr w:rsidR="0043135B" w:rsidTr="00863609">
        <w:trPr>
          <w:trHeight w:val="300"/>
        </w:trPr>
        <w:tc>
          <w:tcPr>
            <w:tcW w:w="3688" w:type="dxa"/>
          </w:tcPr>
          <w:p w:rsidR="0043135B" w:rsidRDefault="0043135B" w:rsidP="00863609">
            <w:r>
              <w:t>Lograr 9200000 Viaje(s) en modos sostenibles en un día hábil entre semana en Bogotá</w:t>
            </w:r>
          </w:p>
        </w:tc>
        <w:tc>
          <w:tcPr>
            <w:tcW w:w="3020" w:type="dxa"/>
          </w:tcPr>
          <w:p w:rsidR="0043135B" w:rsidRDefault="0043135B" w:rsidP="00863609">
            <w:r>
              <w:t>0%</w:t>
            </w:r>
          </w:p>
        </w:tc>
        <w:tc>
          <w:tcPr>
            <w:tcW w:w="2120" w:type="dxa"/>
          </w:tcPr>
          <w:p w:rsidR="0043135B" w:rsidRDefault="0043135B" w:rsidP="00863609">
            <w:r>
              <w:t>0%</w:t>
            </w:r>
          </w:p>
        </w:tc>
      </w:tr>
      <w:tr w:rsidR="0043135B" w:rsidTr="00863609">
        <w:trPr>
          <w:trHeight w:val="300"/>
        </w:trPr>
        <w:tc>
          <w:tcPr>
            <w:tcW w:w="3688" w:type="dxa"/>
          </w:tcPr>
          <w:p w:rsidR="0043135B" w:rsidRDefault="0043135B" w:rsidP="00863609">
            <w:r>
              <w:t>Construir 59 Kilómetro(s) lineales de la red de cicloinfraestructura</w:t>
            </w:r>
          </w:p>
        </w:tc>
        <w:tc>
          <w:tcPr>
            <w:tcW w:w="3020" w:type="dxa"/>
          </w:tcPr>
          <w:p w:rsidR="0043135B" w:rsidRDefault="0043135B" w:rsidP="00863609">
            <w:r>
              <w:t>1%</w:t>
            </w:r>
          </w:p>
        </w:tc>
        <w:tc>
          <w:tcPr>
            <w:tcW w:w="2120" w:type="dxa"/>
          </w:tcPr>
          <w:p w:rsidR="0043135B" w:rsidRDefault="0043135B" w:rsidP="00863609">
            <w:r>
              <w:t>3%</w:t>
            </w:r>
          </w:p>
        </w:tc>
      </w:tr>
      <w:tr w:rsidR="0043135B" w:rsidTr="00863609">
        <w:trPr>
          <w:trHeight w:val="900"/>
        </w:trPr>
        <w:tc>
          <w:tcPr>
            <w:tcW w:w="3688" w:type="dxa"/>
          </w:tcPr>
          <w:p w:rsidR="0043135B" w:rsidRDefault="0043135B" w:rsidP="00863609">
            <w:r>
              <w:t>Recuperar 30000 Metro(s) cuadrado(s) de espacio público para una movilidad más segura y accesible, principalmente en entornos relacionados con la movilidad activa y sostenible, siguiendo el enfoque de calle completa</w:t>
            </w:r>
          </w:p>
        </w:tc>
        <w:tc>
          <w:tcPr>
            <w:tcW w:w="3020" w:type="dxa"/>
          </w:tcPr>
          <w:p w:rsidR="0043135B" w:rsidRDefault="0043135B" w:rsidP="00863609">
            <w:r>
              <w:t>11%</w:t>
            </w:r>
          </w:p>
        </w:tc>
        <w:tc>
          <w:tcPr>
            <w:tcW w:w="2120" w:type="dxa"/>
          </w:tcPr>
          <w:p w:rsidR="0043135B" w:rsidRDefault="0043135B" w:rsidP="00863609">
            <w:r>
              <w:t>8%</w:t>
            </w:r>
          </w:p>
        </w:tc>
      </w:tr>
      <w:tr w:rsidR="0043135B" w:rsidTr="00863609">
        <w:trPr>
          <w:trHeight w:val="600"/>
        </w:trPr>
        <w:tc>
          <w:tcPr>
            <w:tcW w:w="3688" w:type="dxa"/>
          </w:tcPr>
          <w:p w:rsidR="0043135B" w:rsidRDefault="0043135B" w:rsidP="00863609">
            <w:r>
              <w:t>Desarrollar el 100% de la estrategia de mejora y sostenibilidad del Modelo Integrado De Planeación y Gestión - Mipg en las entidades del Sector Movilidad</w:t>
            </w:r>
          </w:p>
        </w:tc>
        <w:tc>
          <w:tcPr>
            <w:tcW w:w="3020" w:type="dxa"/>
          </w:tcPr>
          <w:p w:rsidR="0043135B" w:rsidRDefault="0043135B" w:rsidP="00863609">
            <w:r>
              <w:t>15%</w:t>
            </w:r>
          </w:p>
        </w:tc>
        <w:tc>
          <w:tcPr>
            <w:tcW w:w="2120" w:type="dxa"/>
          </w:tcPr>
          <w:p w:rsidR="0043135B" w:rsidRDefault="0043135B" w:rsidP="00863609">
            <w:r>
              <w:t>9%</w:t>
            </w:r>
          </w:p>
        </w:tc>
      </w:tr>
      <w:tr w:rsidR="0043135B" w:rsidTr="00863609">
        <w:trPr>
          <w:trHeight w:val="900"/>
        </w:trPr>
        <w:tc>
          <w:tcPr>
            <w:tcW w:w="3688" w:type="dxa"/>
          </w:tcPr>
          <w:p w:rsidR="0043135B" w:rsidRDefault="0043135B" w:rsidP="00863609">
            <w:r>
              <w:t>Diseñar, implementar y evaluar el 100% del plan sectorial de cultura ciudadana, comunicación y pedagogía cívica que propicien transformaciones voluntarias constructivas y corresponsables en el sistema de movilidad</w:t>
            </w:r>
          </w:p>
        </w:tc>
        <w:tc>
          <w:tcPr>
            <w:tcW w:w="3020" w:type="dxa"/>
          </w:tcPr>
          <w:p w:rsidR="0043135B" w:rsidRDefault="0043135B" w:rsidP="00863609">
            <w:r>
              <w:t>25%</w:t>
            </w:r>
          </w:p>
        </w:tc>
        <w:tc>
          <w:tcPr>
            <w:tcW w:w="2120" w:type="dxa"/>
          </w:tcPr>
          <w:p w:rsidR="0043135B" w:rsidRDefault="0043135B" w:rsidP="00863609">
            <w:r>
              <w:t>11%</w:t>
            </w:r>
          </w:p>
        </w:tc>
      </w:tr>
      <w:tr w:rsidR="0043135B" w:rsidTr="00863609">
        <w:trPr>
          <w:trHeight w:val="600"/>
        </w:trPr>
        <w:tc>
          <w:tcPr>
            <w:tcW w:w="3688" w:type="dxa"/>
          </w:tcPr>
          <w:p w:rsidR="0043135B" w:rsidRDefault="0043135B" w:rsidP="00863609">
            <w:r>
              <w:t>Complementar con dispositivos que garanticen la accesibilidad de 340 Intersección(es) semafóricas que cumplan con las condiciones técnicas para tal fin</w:t>
            </w:r>
          </w:p>
        </w:tc>
        <w:tc>
          <w:tcPr>
            <w:tcW w:w="3020" w:type="dxa"/>
          </w:tcPr>
          <w:p w:rsidR="0043135B" w:rsidRDefault="0043135B" w:rsidP="00863609">
            <w:r>
              <w:t>58%</w:t>
            </w:r>
          </w:p>
        </w:tc>
        <w:tc>
          <w:tcPr>
            <w:tcW w:w="2120" w:type="dxa"/>
          </w:tcPr>
          <w:p w:rsidR="0043135B" w:rsidRDefault="0043135B" w:rsidP="00863609">
            <w:r>
              <w:t>21%</w:t>
            </w:r>
          </w:p>
        </w:tc>
      </w:tr>
      <w:tr w:rsidR="0043135B" w:rsidTr="00863609">
        <w:trPr>
          <w:trHeight w:val="900"/>
        </w:trPr>
        <w:tc>
          <w:tcPr>
            <w:tcW w:w="3688" w:type="dxa"/>
          </w:tcPr>
          <w:p w:rsidR="0043135B" w:rsidRDefault="0043135B" w:rsidP="00863609">
            <w:r>
              <w:t>Desarrollar el 100% de mejoramiento en la atención, participación ciudadana incidente y formación para la atención integral con enfoques de género, diferencial y territorial, a través de los canales definidos por cada entidad, del Sector Movilidad</w:t>
            </w:r>
          </w:p>
        </w:tc>
        <w:tc>
          <w:tcPr>
            <w:tcW w:w="3020" w:type="dxa"/>
          </w:tcPr>
          <w:p w:rsidR="0043135B" w:rsidRDefault="0043135B" w:rsidP="00863609">
            <w:r>
              <w:t>45%</w:t>
            </w:r>
          </w:p>
        </w:tc>
        <w:tc>
          <w:tcPr>
            <w:tcW w:w="2120" w:type="dxa"/>
          </w:tcPr>
          <w:p w:rsidR="0043135B" w:rsidRDefault="0043135B" w:rsidP="00863609">
            <w:r>
              <w:t>26%</w:t>
            </w:r>
          </w:p>
        </w:tc>
      </w:tr>
      <w:tr w:rsidR="0043135B" w:rsidTr="00863609">
        <w:trPr>
          <w:trHeight w:val="600"/>
        </w:trPr>
        <w:tc>
          <w:tcPr>
            <w:tcW w:w="3688" w:type="dxa"/>
          </w:tcPr>
          <w:p w:rsidR="0043135B" w:rsidRDefault="0043135B" w:rsidP="00863609">
            <w:r>
              <w:t>Desarrollar e implementar 1 Estrategia(s) para la promoción de infraestructura de recarga de vehículos eléctricos en Bogotá D.C</w:t>
            </w:r>
          </w:p>
        </w:tc>
        <w:tc>
          <w:tcPr>
            <w:tcW w:w="3020" w:type="dxa"/>
          </w:tcPr>
          <w:p w:rsidR="0043135B" w:rsidRDefault="0043135B" w:rsidP="00863609">
            <w:r>
              <w:t>80%</w:t>
            </w:r>
          </w:p>
        </w:tc>
        <w:tc>
          <w:tcPr>
            <w:tcW w:w="2120" w:type="dxa"/>
          </w:tcPr>
          <w:p w:rsidR="0043135B" w:rsidRDefault="0043135B" w:rsidP="00863609">
            <w:r>
              <w:t>34%</w:t>
            </w:r>
          </w:p>
        </w:tc>
      </w:tr>
    </w:tbl>
    <w:p w:rsidR="0043135B" w:rsidRDefault="0043135B" w:rsidP="0043135B">
      <w:pPr>
        <w:jc w:val="center"/>
        <w:rPr>
          <w:sz w:val="18"/>
          <w:szCs w:val="18"/>
        </w:rPr>
      </w:pPr>
      <w:r>
        <w:rPr>
          <w:b/>
          <w:bCs/>
          <w:sz w:val="18"/>
          <w:szCs w:val="18"/>
        </w:rPr>
        <w:t>Fuente:</w:t>
      </w:r>
      <w:r>
        <w:rPr>
          <w:sz w:val="18"/>
          <w:szCs w:val="18"/>
        </w:rPr>
        <w:t xml:space="preserve"> Reporte de Avance Fisico corte 30 de septiembre, información suministrada por la Secretaría Distrital de Planeación (2025). </w:t>
      </w:r>
    </w:p>
    <w:p w:rsidR="0043135B" w:rsidRDefault="0043135B" w:rsidP="0043135B">
      <w:pPr>
        <w:jc w:val="both"/>
      </w:pPr>
      <w:r>
        <w:t xml:space="preserve">Es muy importante observar que la meta de “desarrollar el 100% de mejoramiento en la atención, participación ciudadana incidente y formación para la atención integral con enfoques de género, diferencial y territorial, a través de los canales definidos por cada entidad, del Sector Movilidad”, muestra un avance del 26%, la cual fue una promesa de ciudad y de la campaña del actual,  Alcalde Mayor de Bogotá, </w:t>
      </w:r>
    </w:p>
    <w:p w:rsidR="0043135B" w:rsidRDefault="0043135B" w:rsidP="0043135B">
      <w:r>
        <w:t>El panorama general de la infraestructura en Bogotá muestra un alto índice de incumplimiento en los cronogramas de obras.</w:t>
      </w:r>
    </w:p>
    <w:p w:rsidR="0043135B" w:rsidRDefault="0043135B" w:rsidP="0043135B">
      <w:pPr>
        <w:jc w:val="center"/>
      </w:pPr>
      <w:r>
        <w:rPr>
          <w:b/>
          <w:bCs/>
        </w:rPr>
        <w:t xml:space="preserve">Tabla 4. </w:t>
      </w:r>
      <w:r>
        <w:t>Cifras de Retraso de frente de Obra de Bogotá</w:t>
      </w:r>
    </w:p>
    <w:tbl>
      <w:tblPr>
        <w:tblW w:w="8820" w:type="dxa"/>
        <w:tblBorders>
          <w:top w:val="nil"/>
          <w:left w:val="nil"/>
          <w:bottom w:val="nil"/>
          <w:right w:val="nil"/>
          <w:insideH w:val="nil"/>
          <w:insideV w:val="nil"/>
        </w:tblBorders>
        <w:tblLayout w:type="fixed"/>
        <w:tblLook w:val="0600" w:firstRow="0" w:lastRow="0" w:firstColumn="0" w:lastColumn="0" w:noHBand="1" w:noVBand="1"/>
      </w:tblPr>
      <w:tblGrid>
        <w:gridCol w:w="2670"/>
        <w:gridCol w:w="3630"/>
        <w:gridCol w:w="2520"/>
      </w:tblGrid>
      <w:tr w:rsidR="0043135B" w:rsidTr="00863609">
        <w:trPr>
          <w:trHeight w:val="810"/>
        </w:trPr>
        <w:tc>
          <w:tcPr>
            <w:tcW w:w="2670" w:type="dxa"/>
            <w:tcBorders>
              <w:top w:val="single" w:sz="4" w:space="0" w:color="1F1F1F"/>
              <w:left w:val="single" w:sz="4" w:space="0" w:color="1F1F1F"/>
              <w:bottom w:val="single" w:sz="4" w:space="0" w:color="1F1F1F"/>
              <w:right w:val="single" w:sz="4" w:space="0" w:color="1F1F1F"/>
            </w:tcBorders>
            <w:shd w:val="clear" w:color="auto" w:fill="EFEFEF"/>
            <w:tcMar>
              <w:top w:w="120" w:type="dxa"/>
              <w:left w:w="180" w:type="dxa"/>
              <w:bottom w:w="120" w:type="dxa"/>
              <w:right w:w="180" w:type="dxa"/>
            </w:tcMar>
          </w:tcPr>
          <w:p w:rsidR="0043135B" w:rsidRDefault="0043135B" w:rsidP="00863609">
            <w:pPr>
              <w:spacing w:after="480" w:line="276" w:lineRule="auto"/>
              <w:rPr>
                <w:color w:val="1F1F1F"/>
              </w:rPr>
            </w:pPr>
            <w:r>
              <w:rPr>
                <w:b/>
                <w:bCs/>
                <w:color w:val="1F1F1F"/>
              </w:rPr>
              <w:t>Indicador</w:t>
            </w:r>
          </w:p>
        </w:tc>
        <w:tc>
          <w:tcPr>
            <w:tcW w:w="3630" w:type="dxa"/>
            <w:tcBorders>
              <w:top w:val="single" w:sz="4" w:space="0" w:color="1F1F1F"/>
              <w:left w:val="single" w:sz="4" w:space="0" w:color="1F1F1F"/>
              <w:bottom w:val="single" w:sz="4" w:space="0" w:color="1F1F1F"/>
              <w:right w:val="single" w:sz="4" w:space="0" w:color="1F1F1F"/>
            </w:tcBorders>
            <w:shd w:val="clear" w:color="auto" w:fill="EFEFEF"/>
            <w:tcMar>
              <w:top w:w="120" w:type="dxa"/>
              <w:left w:w="180" w:type="dxa"/>
              <w:bottom w:w="120" w:type="dxa"/>
              <w:right w:w="180" w:type="dxa"/>
            </w:tcMar>
          </w:tcPr>
          <w:p w:rsidR="0043135B" w:rsidRDefault="0043135B" w:rsidP="00863609">
            <w:pPr>
              <w:spacing w:after="480" w:line="276" w:lineRule="auto"/>
              <w:rPr>
                <w:color w:val="1F1F1F"/>
              </w:rPr>
            </w:pPr>
            <w:r>
              <w:rPr>
                <w:b/>
                <w:bCs/>
                <w:color w:val="1F1F1F"/>
              </w:rPr>
              <w:t>Cifra Clave (Corte Sep. 2025)</w:t>
            </w:r>
          </w:p>
        </w:tc>
        <w:tc>
          <w:tcPr>
            <w:tcW w:w="2520" w:type="dxa"/>
            <w:tcBorders>
              <w:top w:val="single" w:sz="4" w:space="0" w:color="1F1F1F"/>
              <w:left w:val="single" w:sz="4" w:space="0" w:color="1F1F1F"/>
              <w:bottom w:val="single" w:sz="4" w:space="0" w:color="1F1F1F"/>
              <w:right w:val="single" w:sz="4" w:space="0" w:color="1F1F1F"/>
            </w:tcBorders>
            <w:shd w:val="clear" w:color="auto" w:fill="EFEFEF"/>
            <w:tcMar>
              <w:top w:w="120" w:type="dxa"/>
              <w:left w:w="180" w:type="dxa"/>
              <w:bottom w:w="120" w:type="dxa"/>
              <w:right w:w="180" w:type="dxa"/>
            </w:tcMar>
          </w:tcPr>
          <w:p w:rsidR="0043135B" w:rsidRDefault="0043135B" w:rsidP="00863609">
            <w:pPr>
              <w:spacing w:after="480" w:line="276" w:lineRule="auto"/>
              <w:rPr>
                <w:color w:val="1F1F1F"/>
              </w:rPr>
            </w:pPr>
            <w:r>
              <w:rPr>
                <w:b/>
                <w:bCs/>
                <w:color w:val="1F1F1F"/>
              </w:rPr>
              <w:t>Fuente</w:t>
            </w:r>
          </w:p>
        </w:tc>
      </w:tr>
      <w:tr w:rsidR="0043135B" w:rsidTr="00863609">
        <w:trPr>
          <w:trHeight w:val="977"/>
        </w:trPr>
        <w:tc>
          <w:tcPr>
            <w:tcW w:w="267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Obras Públicas Retrasadas o Suspendidas</w:t>
            </w:r>
          </w:p>
        </w:tc>
        <w:tc>
          <w:tcPr>
            <w:tcW w:w="363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72% del total de contratos.</w:t>
            </w:r>
          </w:p>
        </w:tc>
        <w:tc>
          <w:tcPr>
            <w:tcW w:w="252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Información suministrada SD Movilidad 2025</w:t>
            </w:r>
          </w:p>
        </w:tc>
      </w:tr>
      <w:tr w:rsidR="0043135B" w:rsidTr="00863609">
        <w:trPr>
          <w:trHeight w:val="810"/>
        </w:trPr>
        <w:tc>
          <w:tcPr>
            <w:tcW w:w="267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Contratos Totales Analizados</w:t>
            </w:r>
          </w:p>
        </w:tc>
        <w:tc>
          <w:tcPr>
            <w:tcW w:w="363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58 contratos de obras públicas.</w:t>
            </w:r>
          </w:p>
        </w:tc>
        <w:tc>
          <w:tcPr>
            <w:tcW w:w="252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Información suministrada SD Movilidad 2025</w:t>
            </w:r>
          </w:p>
        </w:tc>
      </w:tr>
      <w:tr w:rsidR="0043135B" w:rsidTr="00863609">
        <w:trPr>
          <w:trHeight w:val="810"/>
        </w:trPr>
        <w:tc>
          <w:tcPr>
            <w:tcW w:w="267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Contratos con Retrasos</w:t>
            </w:r>
          </w:p>
        </w:tc>
        <w:tc>
          <w:tcPr>
            <w:tcW w:w="363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35 contratos.</w:t>
            </w:r>
          </w:p>
        </w:tc>
        <w:tc>
          <w:tcPr>
            <w:tcW w:w="252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Información suministrada SD Movilidad 2025</w:t>
            </w:r>
          </w:p>
        </w:tc>
      </w:tr>
      <w:tr w:rsidR="0043135B" w:rsidTr="00863609">
        <w:trPr>
          <w:trHeight w:val="810"/>
        </w:trPr>
        <w:tc>
          <w:tcPr>
            <w:tcW w:w="267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Contratos Suspendidos</w:t>
            </w:r>
          </w:p>
        </w:tc>
        <w:tc>
          <w:tcPr>
            <w:tcW w:w="363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7 contratos.</w:t>
            </w:r>
          </w:p>
        </w:tc>
        <w:tc>
          <w:tcPr>
            <w:tcW w:w="252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Información suministrada SD Movilidad 2025</w:t>
            </w:r>
          </w:p>
        </w:tc>
      </w:tr>
      <w:tr w:rsidR="0043135B" w:rsidTr="00863609">
        <w:trPr>
          <w:trHeight w:val="810"/>
        </w:trPr>
        <w:tc>
          <w:tcPr>
            <w:tcW w:w="267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Máximo Porcentaje de Retraso</w:t>
            </w:r>
          </w:p>
        </w:tc>
        <w:tc>
          <w:tcPr>
            <w:tcW w:w="363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-53,36% (Obra Av. Francisco Miranda, Calle 45).</w:t>
            </w:r>
          </w:p>
        </w:tc>
        <w:tc>
          <w:tcPr>
            <w:tcW w:w="252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Información suministrada SD Movilidad 2025</w:t>
            </w:r>
          </w:p>
        </w:tc>
      </w:tr>
      <w:tr w:rsidR="0043135B" w:rsidTr="00863609">
        <w:trPr>
          <w:trHeight w:val="1095"/>
        </w:trPr>
        <w:tc>
          <w:tcPr>
            <w:tcW w:w="267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Retrasos Antiguos</w:t>
            </w:r>
          </w:p>
        </w:tc>
        <w:tc>
          <w:tcPr>
            <w:tcW w:w="363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Aún hay obras activas desde 2018 (algunas de valorización).</w:t>
            </w:r>
          </w:p>
        </w:tc>
        <w:tc>
          <w:tcPr>
            <w:tcW w:w="252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Información suministrada SD Movilidad 2025</w:t>
            </w:r>
          </w:p>
        </w:tc>
      </w:tr>
    </w:tbl>
    <w:p w:rsidR="0043135B" w:rsidRDefault="0043135B" w:rsidP="0043135B">
      <w:pPr>
        <w:jc w:val="center"/>
      </w:pPr>
      <w:r>
        <w:rPr>
          <w:b/>
          <w:bCs/>
          <w:sz w:val="18"/>
          <w:szCs w:val="18"/>
        </w:rPr>
        <w:t>Fuente:</w:t>
      </w:r>
      <w:r>
        <w:rPr>
          <w:sz w:val="18"/>
          <w:szCs w:val="18"/>
        </w:rPr>
        <w:t xml:space="preserve"> Información suministrada IDU, respuesta de proposición Concejo de Bogotá (2025). </w:t>
      </w:r>
    </w:p>
    <w:p w:rsidR="0043135B" w:rsidRDefault="0043135B" w:rsidP="0043135B"/>
    <w:p w:rsidR="0043135B" w:rsidRDefault="0043135B" w:rsidP="0043135B">
      <w:pPr>
        <w:rPr>
          <w:b/>
          <w:bCs/>
        </w:rPr>
      </w:pPr>
      <w:r>
        <w:rPr>
          <w:b/>
          <w:bCs/>
          <w:i/>
          <w:iCs/>
        </w:rPr>
        <w:t>Elementos de Inconsistencias de Participación Ciudadana en Bogotá</w:t>
      </w:r>
      <w:r>
        <w:rPr>
          <w:b/>
          <w:bCs/>
        </w:rPr>
        <w:t xml:space="preserve"> </w:t>
      </w:r>
    </w:p>
    <w:p w:rsidR="0043135B" w:rsidRDefault="0043135B" w:rsidP="0043135B">
      <w:r>
        <w:t xml:space="preserve">Revisando a las diferentes entidades con metas relacionadas con la Participación Ciudadana, en relación a sus metas, podemos ver lo siguiente: </w:t>
      </w:r>
    </w:p>
    <w:p w:rsidR="0043135B" w:rsidRDefault="0043135B" w:rsidP="0043135B"/>
    <w:p w:rsidR="0043135B" w:rsidRDefault="0043135B" w:rsidP="0043135B">
      <w:pPr>
        <w:jc w:val="center"/>
      </w:pPr>
      <w:r>
        <w:rPr>
          <w:b/>
          <w:bCs/>
        </w:rPr>
        <w:t xml:space="preserve">Tabla 4. </w:t>
      </w:r>
      <w:r>
        <w:t>Avance Físico de Metas de Participación Ciudadana Intersectoriales</w:t>
      </w:r>
    </w:p>
    <w:tbl>
      <w:tblPr>
        <w:tblW w:w="88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35"/>
        <w:gridCol w:w="5385"/>
        <w:gridCol w:w="1095"/>
        <w:gridCol w:w="1005"/>
      </w:tblGrid>
      <w:tr w:rsidR="0043135B" w:rsidTr="00863609">
        <w:trPr>
          <w:trHeight w:val="645"/>
        </w:trPr>
        <w:tc>
          <w:tcPr>
            <w:tcW w:w="1335" w:type="dxa"/>
          </w:tcPr>
          <w:p w:rsidR="0043135B" w:rsidRDefault="0043135B" w:rsidP="00863609">
            <w:pPr>
              <w:rPr>
                <w:b/>
                <w:bCs/>
              </w:rPr>
            </w:pPr>
            <w:r>
              <w:rPr>
                <w:b/>
                <w:bCs/>
              </w:rPr>
              <w:t>Entidades Distritales</w:t>
            </w:r>
          </w:p>
        </w:tc>
        <w:tc>
          <w:tcPr>
            <w:tcW w:w="5385" w:type="dxa"/>
          </w:tcPr>
          <w:p w:rsidR="0043135B" w:rsidRDefault="0043135B" w:rsidP="00863609">
            <w:pPr>
              <w:rPr>
                <w:b/>
                <w:bCs/>
              </w:rPr>
            </w:pPr>
            <w:r>
              <w:rPr>
                <w:b/>
                <w:bCs/>
              </w:rPr>
              <w:t>Metas Plan de Desarrollo Galán Movilidad</w:t>
            </w:r>
          </w:p>
        </w:tc>
        <w:tc>
          <w:tcPr>
            <w:tcW w:w="1095" w:type="dxa"/>
          </w:tcPr>
          <w:p w:rsidR="0043135B" w:rsidRDefault="0043135B" w:rsidP="00863609">
            <w:pPr>
              <w:rPr>
                <w:b/>
                <w:bCs/>
                <w:sz w:val="18"/>
                <w:szCs w:val="18"/>
              </w:rPr>
            </w:pPr>
            <w:r>
              <w:rPr>
                <w:b/>
                <w:bCs/>
                <w:sz w:val="18"/>
                <w:szCs w:val="18"/>
              </w:rPr>
              <w:t>AVANCE METAS VIGENCIA 2025</w:t>
            </w:r>
          </w:p>
        </w:tc>
        <w:tc>
          <w:tcPr>
            <w:tcW w:w="1005" w:type="dxa"/>
          </w:tcPr>
          <w:p w:rsidR="0043135B" w:rsidRDefault="0043135B" w:rsidP="00863609">
            <w:pPr>
              <w:rPr>
                <w:b/>
                <w:bCs/>
                <w:sz w:val="18"/>
                <w:szCs w:val="18"/>
              </w:rPr>
            </w:pPr>
            <w:r>
              <w:rPr>
                <w:b/>
                <w:bCs/>
                <w:sz w:val="18"/>
                <w:szCs w:val="18"/>
              </w:rPr>
              <w:t>AVANCE METAS PLAN</w:t>
            </w:r>
          </w:p>
        </w:tc>
      </w:tr>
      <w:tr w:rsidR="0043135B" w:rsidTr="00863609">
        <w:trPr>
          <w:trHeight w:val="900"/>
        </w:trPr>
        <w:tc>
          <w:tcPr>
            <w:tcW w:w="1335" w:type="dxa"/>
          </w:tcPr>
          <w:p w:rsidR="0043135B" w:rsidRDefault="0043135B" w:rsidP="00863609">
            <w:r>
              <w:t>Secretaría Jurídica Distrital</w:t>
            </w:r>
          </w:p>
        </w:tc>
        <w:tc>
          <w:tcPr>
            <w:tcW w:w="5385" w:type="dxa"/>
          </w:tcPr>
          <w:p w:rsidR="0043135B" w:rsidRDefault="0043135B" w:rsidP="00863609">
            <w:pPr>
              <w:jc w:val="both"/>
            </w:pPr>
            <w:r>
              <w:t>Lograr el 43% de participación ciudadana incidente en los proyectos normativos y de regulación que expida la administración distrital</w:t>
            </w:r>
          </w:p>
        </w:tc>
        <w:tc>
          <w:tcPr>
            <w:tcW w:w="1095" w:type="dxa"/>
          </w:tcPr>
          <w:p w:rsidR="0043135B" w:rsidRDefault="0043135B" w:rsidP="00863609">
            <w:r>
              <w:t>0%</w:t>
            </w:r>
          </w:p>
        </w:tc>
        <w:tc>
          <w:tcPr>
            <w:tcW w:w="1005" w:type="dxa"/>
          </w:tcPr>
          <w:p w:rsidR="0043135B" w:rsidRDefault="0043135B" w:rsidP="00863609">
            <w:r>
              <w:t>0%</w:t>
            </w:r>
          </w:p>
        </w:tc>
      </w:tr>
      <w:tr w:rsidR="0043135B" w:rsidTr="00863609">
        <w:trPr>
          <w:trHeight w:val="900"/>
        </w:trPr>
        <w:tc>
          <w:tcPr>
            <w:tcW w:w="1335" w:type="dxa"/>
          </w:tcPr>
          <w:p w:rsidR="0043135B" w:rsidRDefault="0043135B" w:rsidP="00863609">
            <w:r>
              <w:t>Instituto Distrital de Gestión de Riesgos y Cambio Climático</w:t>
            </w:r>
          </w:p>
        </w:tc>
        <w:tc>
          <w:tcPr>
            <w:tcW w:w="5385" w:type="dxa"/>
          </w:tcPr>
          <w:p w:rsidR="0043135B" w:rsidRDefault="0043135B" w:rsidP="00863609">
            <w:pPr>
              <w:jc w:val="both"/>
            </w:pPr>
            <w:r>
              <w:t>Realizar 1182 Proceso(s) de participación ciudadana para la mitigación de las situaciones ambientales conflictivas y para la gestión comunitaria del riesgo de desastres</w:t>
            </w:r>
          </w:p>
        </w:tc>
        <w:tc>
          <w:tcPr>
            <w:tcW w:w="1095" w:type="dxa"/>
          </w:tcPr>
          <w:p w:rsidR="0043135B" w:rsidRDefault="0043135B" w:rsidP="00863609">
            <w:r>
              <w:t>2%</w:t>
            </w:r>
          </w:p>
        </w:tc>
        <w:tc>
          <w:tcPr>
            <w:tcW w:w="1005" w:type="dxa"/>
          </w:tcPr>
          <w:p w:rsidR="0043135B" w:rsidRDefault="0043135B" w:rsidP="00863609">
            <w:r>
              <w:t>1%</w:t>
            </w:r>
          </w:p>
        </w:tc>
      </w:tr>
      <w:tr w:rsidR="0043135B" w:rsidTr="00863609">
        <w:trPr>
          <w:trHeight w:val="900"/>
        </w:trPr>
        <w:tc>
          <w:tcPr>
            <w:tcW w:w="1335" w:type="dxa"/>
          </w:tcPr>
          <w:p w:rsidR="0043135B" w:rsidRDefault="0043135B" w:rsidP="00863609">
            <w:r>
              <w:t>Instituto Distrital de Gestión de Riesgos y Cambio Climático</w:t>
            </w:r>
          </w:p>
        </w:tc>
        <w:tc>
          <w:tcPr>
            <w:tcW w:w="5385" w:type="dxa"/>
          </w:tcPr>
          <w:p w:rsidR="0043135B" w:rsidRDefault="0043135B" w:rsidP="00863609">
            <w:pPr>
              <w:jc w:val="both"/>
            </w:pPr>
            <w:r>
              <w:t>Vincular 2302200 Persona(s) en acciones de educación ambiental para la conservación de la biodiversidad, el agua y la gestión de riesgos de desastres</w:t>
            </w:r>
          </w:p>
        </w:tc>
        <w:tc>
          <w:tcPr>
            <w:tcW w:w="1095" w:type="dxa"/>
          </w:tcPr>
          <w:p w:rsidR="0043135B" w:rsidRDefault="0043135B" w:rsidP="00863609">
            <w:r>
              <w:t>1%</w:t>
            </w:r>
          </w:p>
        </w:tc>
        <w:tc>
          <w:tcPr>
            <w:tcW w:w="1005" w:type="dxa"/>
          </w:tcPr>
          <w:p w:rsidR="0043135B" w:rsidRDefault="0043135B" w:rsidP="00863609">
            <w:r>
              <w:t>1%</w:t>
            </w:r>
          </w:p>
        </w:tc>
      </w:tr>
      <w:tr w:rsidR="0043135B" w:rsidTr="00863609">
        <w:trPr>
          <w:trHeight w:val="900"/>
        </w:trPr>
        <w:tc>
          <w:tcPr>
            <w:tcW w:w="1335" w:type="dxa"/>
          </w:tcPr>
          <w:p w:rsidR="0043135B" w:rsidRDefault="0043135B" w:rsidP="00863609">
            <w:r>
              <w:t>Jardín Botánico José Celestino Mutis</w:t>
            </w:r>
          </w:p>
        </w:tc>
        <w:tc>
          <w:tcPr>
            <w:tcW w:w="5385" w:type="dxa"/>
          </w:tcPr>
          <w:p w:rsidR="0043135B" w:rsidRDefault="0043135B" w:rsidP="00863609">
            <w:pPr>
              <w:jc w:val="both"/>
            </w:pPr>
            <w:r>
              <w:t>Realizar 1182 Proceso(s) de participación ciudadana para la mitigación de las situaciones ambientales conflictivas y para la gestión comunitaria del riesgo de desastres</w:t>
            </w:r>
          </w:p>
        </w:tc>
        <w:tc>
          <w:tcPr>
            <w:tcW w:w="1095" w:type="dxa"/>
          </w:tcPr>
          <w:p w:rsidR="0043135B" w:rsidRDefault="0043135B" w:rsidP="00863609">
            <w:r>
              <w:t>13%</w:t>
            </w:r>
          </w:p>
        </w:tc>
        <w:tc>
          <w:tcPr>
            <w:tcW w:w="1005" w:type="dxa"/>
          </w:tcPr>
          <w:p w:rsidR="0043135B" w:rsidRDefault="0043135B" w:rsidP="00863609">
            <w:r>
              <w:t>6%</w:t>
            </w:r>
          </w:p>
        </w:tc>
      </w:tr>
      <w:tr w:rsidR="0043135B" w:rsidTr="00863609">
        <w:trPr>
          <w:trHeight w:val="900"/>
        </w:trPr>
        <w:tc>
          <w:tcPr>
            <w:tcW w:w="1335" w:type="dxa"/>
          </w:tcPr>
          <w:p w:rsidR="0043135B" w:rsidRDefault="0043135B" w:rsidP="00863609">
            <w:r>
              <w:t>Jardín Botánico José Celestino Mutis</w:t>
            </w:r>
          </w:p>
        </w:tc>
        <w:tc>
          <w:tcPr>
            <w:tcW w:w="5385" w:type="dxa"/>
          </w:tcPr>
          <w:p w:rsidR="0043135B" w:rsidRDefault="0043135B" w:rsidP="00863609">
            <w:pPr>
              <w:jc w:val="both"/>
            </w:pPr>
            <w:r>
              <w:t>Vincular 2302200 Persona(s) en acciones de educación ambiental para la conservación de la biodiversidad, el agua y la gestión de riesgos de desastres</w:t>
            </w:r>
          </w:p>
        </w:tc>
        <w:tc>
          <w:tcPr>
            <w:tcW w:w="1095" w:type="dxa"/>
          </w:tcPr>
          <w:p w:rsidR="0043135B" w:rsidRDefault="0043135B" w:rsidP="00863609">
            <w:r>
              <w:t>23%</w:t>
            </w:r>
          </w:p>
        </w:tc>
        <w:tc>
          <w:tcPr>
            <w:tcW w:w="1005" w:type="dxa"/>
          </w:tcPr>
          <w:p w:rsidR="0043135B" w:rsidRDefault="0043135B" w:rsidP="00863609">
            <w:r>
              <w:t>9%</w:t>
            </w:r>
          </w:p>
        </w:tc>
      </w:tr>
      <w:tr w:rsidR="0043135B" w:rsidTr="00863609">
        <w:trPr>
          <w:trHeight w:val="1500"/>
        </w:trPr>
        <w:tc>
          <w:tcPr>
            <w:tcW w:w="1335" w:type="dxa"/>
          </w:tcPr>
          <w:p w:rsidR="0043135B" w:rsidRDefault="0043135B" w:rsidP="00863609">
            <w:r>
              <w:t>Empresa de Transporte del Tercer Milenio - Transmilenio S.A.</w:t>
            </w:r>
          </w:p>
        </w:tc>
        <w:tc>
          <w:tcPr>
            <w:tcW w:w="5385" w:type="dxa"/>
          </w:tcPr>
          <w:p w:rsidR="0043135B" w:rsidRDefault="0043135B" w:rsidP="00863609">
            <w:pPr>
              <w:jc w:val="both"/>
            </w:pPr>
            <w:r>
              <w:t>Desarrollar el 100% de mejoramiento en la atención, participación ciudadana incidente y formación para la atención integral con enfoques de género, diferencial y territorial, a través de los canales definidos por cada entidad, del Sector Movilidad</w:t>
            </w:r>
          </w:p>
        </w:tc>
        <w:tc>
          <w:tcPr>
            <w:tcW w:w="1095" w:type="dxa"/>
          </w:tcPr>
          <w:p w:rsidR="0043135B" w:rsidRDefault="0043135B" w:rsidP="00863609">
            <w:r>
              <w:t>29%</w:t>
            </w:r>
          </w:p>
        </w:tc>
        <w:tc>
          <w:tcPr>
            <w:tcW w:w="1005" w:type="dxa"/>
          </w:tcPr>
          <w:p w:rsidR="0043135B" w:rsidRDefault="0043135B" w:rsidP="00863609">
            <w:r>
              <w:t>10%</w:t>
            </w:r>
          </w:p>
        </w:tc>
      </w:tr>
      <w:tr w:rsidR="0043135B" w:rsidTr="00863609">
        <w:trPr>
          <w:trHeight w:val="1800"/>
        </w:trPr>
        <w:tc>
          <w:tcPr>
            <w:tcW w:w="1335" w:type="dxa"/>
          </w:tcPr>
          <w:p w:rsidR="0043135B" w:rsidRDefault="0043135B" w:rsidP="00863609">
            <w:r>
              <w:t>Instituto Distrital de las Artes</w:t>
            </w:r>
          </w:p>
        </w:tc>
        <w:tc>
          <w:tcPr>
            <w:tcW w:w="5385" w:type="dxa"/>
          </w:tcPr>
          <w:p w:rsidR="0043135B" w:rsidRDefault="0043135B" w:rsidP="00863609">
            <w:pPr>
              <w:jc w:val="both"/>
            </w:pPr>
            <w:r>
              <w:t>Propiciar 76 Espacio(s) de carácter internacional que promuevan la cooperación y la internacionalización del sector cultura, recreación y deporte; tales como eventos e hitos de ciudad, redes de ciudades, promoción de la bicicleta, entre otros que proyecten a Bogotá en el hemisferio como una capital global atractiva y sostenible</w:t>
            </w:r>
          </w:p>
        </w:tc>
        <w:tc>
          <w:tcPr>
            <w:tcW w:w="1095" w:type="dxa"/>
          </w:tcPr>
          <w:p w:rsidR="0043135B" w:rsidRDefault="0043135B" w:rsidP="00863609">
            <w:r>
              <w:t>21%</w:t>
            </w:r>
          </w:p>
        </w:tc>
        <w:tc>
          <w:tcPr>
            <w:tcW w:w="1005" w:type="dxa"/>
          </w:tcPr>
          <w:p w:rsidR="0043135B" w:rsidRDefault="0043135B" w:rsidP="00863609">
            <w:r>
              <w:t>14%</w:t>
            </w:r>
          </w:p>
        </w:tc>
      </w:tr>
      <w:tr w:rsidR="0043135B" w:rsidTr="00863609">
        <w:trPr>
          <w:trHeight w:val="900"/>
        </w:trPr>
        <w:tc>
          <w:tcPr>
            <w:tcW w:w="1335" w:type="dxa"/>
          </w:tcPr>
          <w:p w:rsidR="0043135B" w:rsidRDefault="0043135B" w:rsidP="00863609">
            <w:r>
              <w:t>Secretaría Distrital de Ambiente</w:t>
            </w:r>
          </w:p>
        </w:tc>
        <w:tc>
          <w:tcPr>
            <w:tcW w:w="5385" w:type="dxa"/>
          </w:tcPr>
          <w:p w:rsidR="0043135B" w:rsidRDefault="0043135B" w:rsidP="00863609">
            <w:pPr>
              <w:jc w:val="both"/>
            </w:pPr>
            <w:r>
              <w:t>Realizar 1182 Proceso(s) de participación ciudadana para la mitigación de las situaciones ambientales conflictivas y para la gestión comunitaria del riesgo de desastres</w:t>
            </w:r>
          </w:p>
        </w:tc>
        <w:tc>
          <w:tcPr>
            <w:tcW w:w="1095" w:type="dxa"/>
          </w:tcPr>
          <w:p w:rsidR="0043135B" w:rsidRDefault="0043135B" w:rsidP="00863609">
            <w:r>
              <w:t>48%</w:t>
            </w:r>
          </w:p>
        </w:tc>
        <w:tc>
          <w:tcPr>
            <w:tcW w:w="1005" w:type="dxa"/>
          </w:tcPr>
          <w:p w:rsidR="0043135B" w:rsidRDefault="0043135B" w:rsidP="00863609">
            <w:r>
              <w:t>20%</w:t>
            </w:r>
          </w:p>
        </w:tc>
      </w:tr>
      <w:tr w:rsidR="0043135B" w:rsidTr="00863609">
        <w:trPr>
          <w:trHeight w:val="1500"/>
        </w:trPr>
        <w:tc>
          <w:tcPr>
            <w:tcW w:w="1335" w:type="dxa"/>
          </w:tcPr>
          <w:p w:rsidR="0043135B" w:rsidRDefault="0043135B" w:rsidP="00863609">
            <w:r>
              <w:t>Secretaría Distrital de Movilidad</w:t>
            </w:r>
          </w:p>
        </w:tc>
        <w:tc>
          <w:tcPr>
            <w:tcW w:w="5385" w:type="dxa"/>
          </w:tcPr>
          <w:p w:rsidR="0043135B" w:rsidRDefault="0043135B" w:rsidP="00863609">
            <w:pPr>
              <w:jc w:val="both"/>
            </w:pPr>
            <w:r>
              <w:t>Desarrollar el 100% de mejoramiento en la atención, participación ciudadana incidente y formación para la atención integral con enfoques de género, diferencial y territorial, a través de los canales definidos por cada entidad, del Sector Movilidad</w:t>
            </w:r>
          </w:p>
        </w:tc>
        <w:tc>
          <w:tcPr>
            <w:tcW w:w="1095" w:type="dxa"/>
          </w:tcPr>
          <w:p w:rsidR="0043135B" w:rsidRDefault="0043135B" w:rsidP="00863609">
            <w:r>
              <w:t>45%</w:t>
            </w:r>
          </w:p>
        </w:tc>
        <w:tc>
          <w:tcPr>
            <w:tcW w:w="1005" w:type="dxa"/>
          </w:tcPr>
          <w:p w:rsidR="0043135B" w:rsidRDefault="0043135B" w:rsidP="00863609">
            <w:r>
              <w:t>26%</w:t>
            </w:r>
          </w:p>
        </w:tc>
      </w:tr>
      <w:tr w:rsidR="0043135B" w:rsidTr="00863609">
        <w:trPr>
          <w:trHeight w:val="1800"/>
        </w:trPr>
        <w:tc>
          <w:tcPr>
            <w:tcW w:w="1335" w:type="dxa"/>
          </w:tcPr>
          <w:p w:rsidR="0043135B" w:rsidRDefault="0043135B" w:rsidP="00863609">
            <w:r>
              <w:t>Secretaría Distrital de Cultura, Recreación y Deporte</w:t>
            </w:r>
          </w:p>
        </w:tc>
        <w:tc>
          <w:tcPr>
            <w:tcW w:w="5385" w:type="dxa"/>
          </w:tcPr>
          <w:p w:rsidR="0043135B" w:rsidRDefault="0043135B" w:rsidP="00863609">
            <w:pPr>
              <w:jc w:val="both"/>
            </w:pPr>
            <w:r>
              <w:t>Propiciar 76 Espacio(s) de carácter internacional que promuevan la cooperación y la internacionalización del sector cultura, recreación y deporte; tales como eventos e hitos de ciudad, redes de ciudades, promoción de la bicicleta, entre otros que proyecten a Bogotá en el hemisferio como una capital global atractiva y sostenible</w:t>
            </w:r>
          </w:p>
        </w:tc>
        <w:tc>
          <w:tcPr>
            <w:tcW w:w="1095" w:type="dxa"/>
          </w:tcPr>
          <w:p w:rsidR="0043135B" w:rsidRDefault="0043135B" w:rsidP="00863609">
            <w:r>
              <w:t>42%</w:t>
            </w:r>
          </w:p>
        </w:tc>
        <w:tc>
          <w:tcPr>
            <w:tcW w:w="1005" w:type="dxa"/>
          </w:tcPr>
          <w:p w:rsidR="0043135B" w:rsidRDefault="0043135B" w:rsidP="00863609">
            <w:r>
              <w:t>26%</w:t>
            </w:r>
          </w:p>
        </w:tc>
      </w:tr>
      <w:tr w:rsidR="0043135B" w:rsidTr="00863609">
        <w:trPr>
          <w:trHeight w:val="900"/>
        </w:trPr>
        <w:tc>
          <w:tcPr>
            <w:tcW w:w="1335" w:type="dxa"/>
          </w:tcPr>
          <w:p w:rsidR="0043135B" w:rsidRDefault="0043135B" w:rsidP="00863609">
            <w:r>
              <w:t>Secretaría Distrital de Ambiente</w:t>
            </w:r>
          </w:p>
        </w:tc>
        <w:tc>
          <w:tcPr>
            <w:tcW w:w="5385" w:type="dxa"/>
          </w:tcPr>
          <w:p w:rsidR="0043135B" w:rsidRDefault="0043135B" w:rsidP="00863609">
            <w:pPr>
              <w:jc w:val="both"/>
            </w:pPr>
            <w:r>
              <w:t>Vincular 2302200 Persona(s) en acciones de educación ambiental para la conservación de la biodiversidad, el agua y la gestión de riesgos de desastres</w:t>
            </w:r>
          </w:p>
        </w:tc>
        <w:tc>
          <w:tcPr>
            <w:tcW w:w="1095" w:type="dxa"/>
          </w:tcPr>
          <w:p w:rsidR="0043135B" w:rsidRDefault="0043135B" w:rsidP="00863609">
            <w:r>
              <w:t>56%</w:t>
            </w:r>
          </w:p>
        </w:tc>
        <w:tc>
          <w:tcPr>
            <w:tcW w:w="1005" w:type="dxa"/>
          </w:tcPr>
          <w:p w:rsidR="0043135B" w:rsidRDefault="0043135B" w:rsidP="00863609">
            <w:r>
              <w:t>28%</w:t>
            </w:r>
          </w:p>
        </w:tc>
      </w:tr>
      <w:tr w:rsidR="0043135B" w:rsidTr="00863609">
        <w:trPr>
          <w:trHeight w:val="1800"/>
        </w:trPr>
        <w:tc>
          <w:tcPr>
            <w:tcW w:w="1335" w:type="dxa"/>
          </w:tcPr>
          <w:p w:rsidR="0043135B" w:rsidRDefault="0043135B" w:rsidP="00863609">
            <w:r>
              <w:t>Instituto Distrital de Protección y Bienestar Animal</w:t>
            </w:r>
          </w:p>
        </w:tc>
        <w:tc>
          <w:tcPr>
            <w:tcW w:w="5385" w:type="dxa"/>
          </w:tcPr>
          <w:p w:rsidR="0043135B" w:rsidRDefault="0043135B" w:rsidP="00863609">
            <w:pPr>
              <w:jc w:val="both"/>
            </w:pPr>
            <w:r>
              <w:t>Implementar 1 Estrategia(s) de fomento a procesos de participación ciudadana que fortalezcan la incidencia de los diversos actores que trabajan a favor de los animales vulnerables, promoviendo la conciencia y la educación sobre el bienestar animal para crear una cultura de respeto y cuidado hacia todas las especies</w:t>
            </w:r>
          </w:p>
        </w:tc>
        <w:tc>
          <w:tcPr>
            <w:tcW w:w="1095" w:type="dxa"/>
          </w:tcPr>
          <w:p w:rsidR="0043135B" w:rsidRDefault="0043135B" w:rsidP="00863609">
            <w:r>
              <w:t>59%</w:t>
            </w:r>
          </w:p>
        </w:tc>
        <w:tc>
          <w:tcPr>
            <w:tcW w:w="1005" w:type="dxa"/>
          </w:tcPr>
          <w:p w:rsidR="0043135B" w:rsidRDefault="0043135B" w:rsidP="00863609">
            <w:r>
              <w:t>31%</w:t>
            </w:r>
          </w:p>
        </w:tc>
      </w:tr>
      <w:tr w:rsidR="0043135B" w:rsidTr="00863609">
        <w:trPr>
          <w:trHeight w:val="1200"/>
        </w:trPr>
        <w:tc>
          <w:tcPr>
            <w:tcW w:w="1335" w:type="dxa"/>
          </w:tcPr>
          <w:p w:rsidR="0043135B" w:rsidRDefault="0043135B" w:rsidP="00863609">
            <w:r>
              <w:t>Secretaría Distrital de Gobierno</w:t>
            </w:r>
          </w:p>
        </w:tc>
        <w:tc>
          <w:tcPr>
            <w:tcW w:w="5385" w:type="dxa"/>
          </w:tcPr>
          <w:p w:rsidR="0043135B" w:rsidRDefault="0043135B" w:rsidP="00863609">
            <w:pPr>
              <w:jc w:val="both"/>
            </w:pPr>
            <w:r>
              <w:t>Implementar 1 Estrategia(s) de participación ciudadana en las 20 localidades con enfoque de género, poblacional y diferencial en el marco de presupuestos participativos Gobierno Abierto de Bogotá</w:t>
            </w:r>
          </w:p>
        </w:tc>
        <w:tc>
          <w:tcPr>
            <w:tcW w:w="1095" w:type="dxa"/>
          </w:tcPr>
          <w:p w:rsidR="0043135B" w:rsidRDefault="0043135B" w:rsidP="00863609">
            <w:r>
              <w:t>64%</w:t>
            </w:r>
          </w:p>
        </w:tc>
        <w:tc>
          <w:tcPr>
            <w:tcW w:w="1005" w:type="dxa"/>
          </w:tcPr>
          <w:p w:rsidR="0043135B" w:rsidRDefault="0043135B" w:rsidP="00863609">
            <w:r>
              <w:t>33%</w:t>
            </w:r>
          </w:p>
        </w:tc>
      </w:tr>
      <w:tr w:rsidR="0043135B" w:rsidTr="00863609">
        <w:trPr>
          <w:trHeight w:val="1500"/>
        </w:trPr>
        <w:tc>
          <w:tcPr>
            <w:tcW w:w="1335" w:type="dxa"/>
          </w:tcPr>
          <w:p w:rsidR="0043135B" w:rsidRDefault="0043135B" w:rsidP="00863609">
            <w:r>
              <w:t>Secretaría Distrital de Gobierno</w:t>
            </w:r>
          </w:p>
        </w:tc>
        <w:tc>
          <w:tcPr>
            <w:tcW w:w="5385" w:type="dxa"/>
          </w:tcPr>
          <w:p w:rsidR="0043135B" w:rsidRDefault="0043135B" w:rsidP="00863609">
            <w:pPr>
              <w:jc w:val="both"/>
            </w:pPr>
            <w:r>
              <w:t>Prestar 40000 Atención(es) con enfoque diferencial, de mujer, género, familia y generaciones a las personas que soliciten los servicios brindados en los espacios de atención apropiación cultural y reconocimiento de procesos organizativos de los grupos étnicos en Bogotá</w:t>
            </w:r>
          </w:p>
        </w:tc>
        <w:tc>
          <w:tcPr>
            <w:tcW w:w="1095" w:type="dxa"/>
          </w:tcPr>
          <w:p w:rsidR="0043135B" w:rsidRDefault="0043135B" w:rsidP="00863609">
            <w:r>
              <w:t>70%</w:t>
            </w:r>
          </w:p>
        </w:tc>
        <w:tc>
          <w:tcPr>
            <w:tcW w:w="1005" w:type="dxa"/>
          </w:tcPr>
          <w:p w:rsidR="0043135B" w:rsidRDefault="0043135B" w:rsidP="00863609">
            <w:r>
              <w:t>34%</w:t>
            </w:r>
          </w:p>
        </w:tc>
      </w:tr>
      <w:tr w:rsidR="0043135B" w:rsidTr="00863609">
        <w:trPr>
          <w:trHeight w:val="1500"/>
        </w:trPr>
        <w:tc>
          <w:tcPr>
            <w:tcW w:w="1335" w:type="dxa"/>
          </w:tcPr>
          <w:p w:rsidR="0043135B" w:rsidRDefault="0043135B" w:rsidP="00863609">
            <w:r>
              <w:t>Secretaría Distrital de Seguridad, Convivencia y Justicia</w:t>
            </w:r>
          </w:p>
        </w:tc>
        <w:tc>
          <w:tcPr>
            <w:tcW w:w="5385" w:type="dxa"/>
          </w:tcPr>
          <w:p w:rsidR="0043135B" w:rsidRDefault="0043135B" w:rsidP="00863609">
            <w:pPr>
              <w:jc w:val="both"/>
            </w:pPr>
            <w:r>
              <w:t>Implementar 1 Plan(es) para la prevención y mitigación de factores de riesgo que favorecen la ocurrencia de violencias y delitos contra poblaciones vulnerables, que incorpore acciones para combatir el microtráfico en entornos escolares del distrito</w:t>
            </w:r>
          </w:p>
        </w:tc>
        <w:tc>
          <w:tcPr>
            <w:tcW w:w="1095" w:type="dxa"/>
          </w:tcPr>
          <w:p w:rsidR="0043135B" w:rsidRDefault="0043135B" w:rsidP="00863609">
            <w:r>
              <w:t>41%</w:t>
            </w:r>
          </w:p>
        </w:tc>
        <w:tc>
          <w:tcPr>
            <w:tcW w:w="1005" w:type="dxa"/>
          </w:tcPr>
          <w:p w:rsidR="0043135B" w:rsidRDefault="0043135B" w:rsidP="00863609">
            <w:r>
              <w:t>35%</w:t>
            </w:r>
          </w:p>
        </w:tc>
      </w:tr>
      <w:tr w:rsidR="0043135B" w:rsidTr="00863609">
        <w:trPr>
          <w:trHeight w:val="1200"/>
        </w:trPr>
        <w:tc>
          <w:tcPr>
            <w:tcW w:w="1335" w:type="dxa"/>
          </w:tcPr>
          <w:p w:rsidR="0043135B" w:rsidRDefault="0043135B" w:rsidP="00863609">
            <w:r>
              <w:t>Instituto Distrital para la Protección de la Niñez y la Juventud</w:t>
            </w:r>
          </w:p>
        </w:tc>
        <w:tc>
          <w:tcPr>
            <w:tcW w:w="5385" w:type="dxa"/>
          </w:tcPr>
          <w:p w:rsidR="0043135B" w:rsidRDefault="0043135B" w:rsidP="00863609">
            <w:pPr>
              <w:jc w:val="both"/>
            </w:pPr>
            <w:r>
              <w:t>Beneficiar a 2480 Adolescentes y jóvenes participantes del modelo pedagógico a estrategias de desarrollo de capacidades y generación de oportunidades para su inclusión socioeconómica</w:t>
            </w:r>
          </w:p>
        </w:tc>
        <w:tc>
          <w:tcPr>
            <w:tcW w:w="1095" w:type="dxa"/>
          </w:tcPr>
          <w:p w:rsidR="0043135B" w:rsidRDefault="0043135B" w:rsidP="00863609">
            <w:r>
              <w:t>78%</w:t>
            </w:r>
          </w:p>
        </w:tc>
        <w:tc>
          <w:tcPr>
            <w:tcW w:w="1005" w:type="dxa"/>
          </w:tcPr>
          <w:p w:rsidR="0043135B" w:rsidRDefault="0043135B" w:rsidP="00863609">
            <w:r>
              <w:t>38%</w:t>
            </w:r>
          </w:p>
        </w:tc>
      </w:tr>
      <w:tr w:rsidR="0043135B" w:rsidTr="00863609">
        <w:trPr>
          <w:trHeight w:val="900"/>
        </w:trPr>
        <w:tc>
          <w:tcPr>
            <w:tcW w:w="1335" w:type="dxa"/>
          </w:tcPr>
          <w:p w:rsidR="0043135B" w:rsidRDefault="0043135B" w:rsidP="00863609">
            <w:r>
              <w:t>Secretaría Distrital de la Mujer</w:t>
            </w:r>
          </w:p>
        </w:tc>
        <w:tc>
          <w:tcPr>
            <w:tcW w:w="5385" w:type="dxa"/>
          </w:tcPr>
          <w:p w:rsidR="0043135B" w:rsidRDefault="0043135B" w:rsidP="00863609">
            <w:pPr>
              <w:jc w:val="both"/>
            </w:pPr>
            <w:r>
              <w:t>Cualificar 9000 Mujer(es) en sus diferencias y diversidades, en herramientas para la autonomía económica</w:t>
            </w:r>
          </w:p>
        </w:tc>
        <w:tc>
          <w:tcPr>
            <w:tcW w:w="1095" w:type="dxa"/>
          </w:tcPr>
          <w:p w:rsidR="0043135B" w:rsidRDefault="0043135B" w:rsidP="00863609">
            <w:r>
              <w:t>89%</w:t>
            </w:r>
          </w:p>
        </w:tc>
        <w:tc>
          <w:tcPr>
            <w:tcW w:w="1005" w:type="dxa"/>
          </w:tcPr>
          <w:p w:rsidR="0043135B" w:rsidRDefault="0043135B" w:rsidP="00863609">
            <w:r>
              <w:t>41%</w:t>
            </w:r>
          </w:p>
        </w:tc>
      </w:tr>
      <w:tr w:rsidR="0043135B" w:rsidTr="00863609">
        <w:trPr>
          <w:trHeight w:val="1800"/>
        </w:trPr>
        <w:tc>
          <w:tcPr>
            <w:tcW w:w="1335" w:type="dxa"/>
          </w:tcPr>
          <w:p w:rsidR="0043135B" w:rsidRDefault="0043135B" w:rsidP="00863609">
            <w:r>
              <w:t>Instituto Distrital de la Participación y Acción Comunal</w:t>
            </w:r>
          </w:p>
        </w:tc>
        <w:tc>
          <w:tcPr>
            <w:tcW w:w="5385" w:type="dxa"/>
          </w:tcPr>
          <w:p w:rsidR="0043135B" w:rsidRDefault="0043135B" w:rsidP="00863609">
            <w:pPr>
              <w:jc w:val="both"/>
            </w:pPr>
            <w:r>
              <w:t>Implementar 100 Acción(es) con un enfoque interseccional en el marco del laboratorio de innovación en la relación gobierno y ciudadanía desarrollando prototipos que recojan retos ciudadanos para ser solucionados de manera colaborativa mejorando la participación incidente en Bogotá</w:t>
            </w:r>
          </w:p>
        </w:tc>
        <w:tc>
          <w:tcPr>
            <w:tcW w:w="1095" w:type="dxa"/>
          </w:tcPr>
          <w:p w:rsidR="0043135B" w:rsidRDefault="0043135B" w:rsidP="00863609">
            <w:r>
              <w:t>91%</w:t>
            </w:r>
          </w:p>
        </w:tc>
        <w:tc>
          <w:tcPr>
            <w:tcW w:w="1005" w:type="dxa"/>
          </w:tcPr>
          <w:p w:rsidR="0043135B" w:rsidRDefault="0043135B" w:rsidP="00863609">
            <w:r>
              <w:t>42%</w:t>
            </w:r>
          </w:p>
        </w:tc>
      </w:tr>
      <w:tr w:rsidR="0043135B" w:rsidTr="00863609">
        <w:trPr>
          <w:trHeight w:val="2100"/>
        </w:trPr>
        <w:tc>
          <w:tcPr>
            <w:tcW w:w="1335" w:type="dxa"/>
          </w:tcPr>
          <w:p w:rsidR="0043135B" w:rsidRDefault="0043135B" w:rsidP="00863609">
            <w:r>
              <w:t>Secretaría Distrital de Planeación</w:t>
            </w:r>
          </w:p>
        </w:tc>
        <w:tc>
          <w:tcPr>
            <w:tcW w:w="5385" w:type="dxa"/>
          </w:tcPr>
          <w:p w:rsidR="0043135B" w:rsidRDefault="0043135B" w:rsidP="00863609">
            <w:pPr>
              <w:jc w:val="both"/>
            </w:pPr>
            <w:r>
              <w:t>Implementar el 100% de las apuestas y acciones del Plan Institucional de Participación Ciudadana de la SDP incluido el Sistema de Participación Territorial del Plan de Ordenamiento Territorial garantizando la inclusión de los enfoques diferenciales, la innovación la pedagogía, la transparencia, la rendición de cuentas permanente, la incidencia y la co- construcción con la ciudadanía</w:t>
            </w:r>
          </w:p>
        </w:tc>
        <w:tc>
          <w:tcPr>
            <w:tcW w:w="1095" w:type="dxa"/>
          </w:tcPr>
          <w:p w:rsidR="0043135B" w:rsidRDefault="0043135B" w:rsidP="00863609">
            <w:r>
              <w:t>75%</w:t>
            </w:r>
          </w:p>
        </w:tc>
        <w:tc>
          <w:tcPr>
            <w:tcW w:w="1005" w:type="dxa"/>
          </w:tcPr>
          <w:p w:rsidR="0043135B" w:rsidRDefault="0043135B" w:rsidP="00863609">
            <w:r>
              <w:t>44%</w:t>
            </w:r>
          </w:p>
        </w:tc>
      </w:tr>
      <w:tr w:rsidR="0043135B" w:rsidTr="00863609">
        <w:trPr>
          <w:trHeight w:val="1500"/>
        </w:trPr>
        <w:tc>
          <w:tcPr>
            <w:tcW w:w="1335" w:type="dxa"/>
          </w:tcPr>
          <w:p w:rsidR="0043135B" w:rsidRDefault="0043135B" w:rsidP="00863609">
            <w:r>
              <w:t>Personería Distrital</w:t>
            </w:r>
          </w:p>
        </w:tc>
        <w:tc>
          <w:tcPr>
            <w:tcW w:w="5385" w:type="dxa"/>
          </w:tcPr>
          <w:p w:rsidR="0043135B" w:rsidRDefault="0043135B" w:rsidP="00863609">
            <w:pPr>
              <w:jc w:val="both"/>
            </w:pPr>
            <w:r>
              <w:t>Implementar 1 Modelo(s) de gobernanza democrática que amplíe el alcance de la participación de la ciudadanía organizaciones sociales y comunales de primer segundo y tercer grado en todas las decisiones públicas del gobierno distrital</w:t>
            </w:r>
          </w:p>
        </w:tc>
        <w:tc>
          <w:tcPr>
            <w:tcW w:w="1095" w:type="dxa"/>
          </w:tcPr>
          <w:p w:rsidR="0043135B" w:rsidRDefault="0043135B" w:rsidP="00863609">
            <w:r>
              <w:t>77%</w:t>
            </w:r>
          </w:p>
        </w:tc>
        <w:tc>
          <w:tcPr>
            <w:tcW w:w="1005" w:type="dxa"/>
          </w:tcPr>
          <w:p w:rsidR="0043135B" w:rsidRDefault="0043135B" w:rsidP="00863609">
            <w:r>
              <w:t>44%</w:t>
            </w:r>
          </w:p>
        </w:tc>
      </w:tr>
      <w:tr w:rsidR="0043135B" w:rsidTr="00863609">
        <w:trPr>
          <w:trHeight w:val="900"/>
        </w:trPr>
        <w:tc>
          <w:tcPr>
            <w:tcW w:w="1335" w:type="dxa"/>
          </w:tcPr>
          <w:p w:rsidR="0043135B" w:rsidRDefault="0043135B" w:rsidP="00863609">
            <w:r>
              <w:t>Secretaría Distrital de Gobierno</w:t>
            </w:r>
          </w:p>
        </w:tc>
        <w:tc>
          <w:tcPr>
            <w:tcW w:w="5385" w:type="dxa"/>
          </w:tcPr>
          <w:p w:rsidR="0043135B" w:rsidRDefault="0043135B" w:rsidP="00863609">
            <w:pPr>
              <w:jc w:val="both"/>
            </w:pPr>
            <w:r>
              <w:t>Fortalecer 1 Laboratorio(s) de innovación pública que promueva el gobierno abierto y la participación ciudadana desde un enfoque de interseccionalidad</w:t>
            </w:r>
          </w:p>
        </w:tc>
        <w:tc>
          <w:tcPr>
            <w:tcW w:w="1095" w:type="dxa"/>
          </w:tcPr>
          <w:p w:rsidR="0043135B" w:rsidRDefault="0043135B" w:rsidP="00863609">
            <w:r>
              <w:t>100%</w:t>
            </w:r>
          </w:p>
        </w:tc>
        <w:tc>
          <w:tcPr>
            <w:tcW w:w="1005" w:type="dxa"/>
          </w:tcPr>
          <w:p w:rsidR="0043135B" w:rsidRDefault="0043135B" w:rsidP="00863609">
            <w:r>
              <w:t>44%</w:t>
            </w:r>
          </w:p>
        </w:tc>
      </w:tr>
      <w:tr w:rsidR="0043135B" w:rsidTr="00863609">
        <w:trPr>
          <w:trHeight w:val="1500"/>
        </w:trPr>
        <w:tc>
          <w:tcPr>
            <w:tcW w:w="1335" w:type="dxa"/>
          </w:tcPr>
          <w:p w:rsidR="0043135B" w:rsidRDefault="0043135B" w:rsidP="00863609">
            <w:r>
              <w:t>Unidad Administrativa Especial de Rehabilitación y Mantenimiento Vial</w:t>
            </w:r>
          </w:p>
        </w:tc>
        <w:tc>
          <w:tcPr>
            <w:tcW w:w="5385" w:type="dxa"/>
          </w:tcPr>
          <w:p w:rsidR="0043135B" w:rsidRDefault="0043135B" w:rsidP="00863609">
            <w:pPr>
              <w:jc w:val="both"/>
            </w:pPr>
            <w:r>
              <w:t>Desarrollar el 100% de mejoramiento en la atención, participación ciudadana incidente y formación para la atención integral con enfoques de género, diferencial y territorial, a través de los canales definidos por cada entidad, del Sector Movilidad</w:t>
            </w:r>
          </w:p>
        </w:tc>
        <w:tc>
          <w:tcPr>
            <w:tcW w:w="1095" w:type="dxa"/>
          </w:tcPr>
          <w:p w:rsidR="0043135B" w:rsidRDefault="0043135B" w:rsidP="00863609">
            <w:r>
              <w:t>100%</w:t>
            </w:r>
          </w:p>
        </w:tc>
        <w:tc>
          <w:tcPr>
            <w:tcW w:w="1005" w:type="dxa"/>
          </w:tcPr>
          <w:p w:rsidR="0043135B" w:rsidRDefault="0043135B" w:rsidP="00863609">
            <w:r>
              <w:t>47%</w:t>
            </w:r>
          </w:p>
        </w:tc>
      </w:tr>
      <w:tr w:rsidR="0043135B" w:rsidTr="00863609">
        <w:trPr>
          <w:trHeight w:val="1800"/>
        </w:trPr>
        <w:tc>
          <w:tcPr>
            <w:tcW w:w="1335" w:type="dxa"/>
          </w:tcPr>
          <w:p w:rsidR="0043135B" w:rsidRDefault="0043135B" w:rsidP="00863609">
            <w:r>
              <w:t>Secretaría Distrital de Salud / Fondo Financiero Distrital de Salud</w:t>
            </w:r>
          </w:p>
        </w:tc>
        <w:tc>
          <w:tcPr>
            <w:tcW w:w="5385" w:type="dxa"/>
          </w:tcPr>
          <w:p w:rsidR="0043135B" w:rsidRDefault="0043135B" w:rsidP="00863609">
            <w:pPr>
              <w:jc w:val="both"/>
            </w:pPr>
            <w:r>
              <w:t>Implementar y evaluar 4 Línea(s) de acción de gobernanza y gobernabilidad para el fortalecimiento de la intersectorialidad la gestión de las políticas planes y/o programas y la participación social que afecten positivamente los determinantes en salud en clave de Atención Primaria Social</w:t>
            </w:r>
          </w:p>
        </w:tc>
        <w:tc>
          <w:tcPr>
            <w:tcW w:w="1095" w:type="dxa"/>
          </w:tcPr>
          <w:p w:rsidR="0043135B" w:rsidRDefault="0043135B" w:rsidP="00863609">
            <w:r>
              <w:t>100%</w:t>
            </w:r>
          </w:p>
        </w:tc>
        <w:tc>
          <w:tcPr>
            <w:tcW w:w="1005" w:type="dxa"/>
          </w:tcPr>
          <w:p w:rsidR="0043135B" w:rsidRDefault="0043135B" w:rsidP="00863609">
            <w:r>
              <w:t>50%</w:t>
            </w:r>
          </w:p>
        </w:tc>
      </w:tr>
      <w:tr w:rsidR="0043135B" w:rsidTr="00863609">
        <w:trPr>
          <w:trHeight w:val="2385"/>
        </w:trPr>
        <w:tc>
          <w:tcPr>
            <w:tcW w:w="1335" w:type="dxa"/>
          </w:tcPr>
          <w:p w:rsidR="0043135B" w:rsidRDefault="0043135B" w:rsidP="00863609">
            <w:r>
              <w:t>Instituto Distrital de la Participación y Acción Comunal</w:t>
            </w:r>
          </w:p>
        </w:tc>
        <w:tc>
          <w:tcPr>
            <w:tcW w:w="5385" w:type="dxa"/>
          </w:tcPr>
          <w:p w:rsidR="0043135B" w:rsidRDefault="0043135B" w:rsidP="00863609">
            <w:pPr>
              <w:jc w:val="both"/>
            </w:pPr>
            <w:r>
              <w:t>Implementar 35 Iniciativa(s) de producción de información que recojan información y datos diferenciados por sexo edad orientación sexual identidad de género estrato social pertenencia étnico-racial, identidad religiosa, ubicación geográfica discapacidad sobre las dinámicas retos y tendencias de participación incidente y paritaria que aportan datos claves para la ciudadanía y la toma de decisiones en materia de políticas públicas</w:t>
            </w:r>
          </w:p>
        </w:tc>
        <w:tc>
          <w:tcPr>
            <w:tcW w:w="1095" w:type="dxa"/>
          </w:tcPr>
          <w:p w:rsidR="0043135B" w:rsidRDefault="0043135B" w:rsidP="00863609">
            <w:r>
              <w:t>100%</w:t>
            </w:r>
          </w:p>
        </w:tc>
        <w:tc>
          <w:tcPr>
            <w:tcW w:w="1005" w:type="dxa"/>
          </w:tcPr>
          <w:p w:rsidR="0043135B" w:rsidRDefault="0043135B" w:rsidP="00863609">
            <w:r>
              <w:t>51%</w:t>
            </w:r>
          </w:p>
        </w:tc>
      </w:tr>
      <w:tr w:rsidR="0043135B" w:rsidTr="00863609">
        <w:trPr>
          <w:trHeight w:val="1200"/>
        </w:trPr>
        <w:tc>
          <w:tcPr>
            <w:tcW w:w="1335" w:type="dxa"/>
          </w:tcPr>
          <w:p w:rsidR="0043135B" w:rsidRDefault="0043135B" w:rsidP="00863609">
            <w:r>
              <w:t>Secretaría Distrital de Cultura, Recreación y Deporte</w:t>
            </w:r>
          </w:p>
        </w:tc>
        <w:tc>
          <w:tcPr>
            <w:tcW w:w="5385" w:type="dxa"/>
          </w:tcPr>
          <w:p w:rsidR="0043135B" w:rsidRDefault="0043135B" w:rsidP="00863609">
            <w:pPr>
              <w:jc w:val="both"/>
            </w:pPr>
            <w:r>
              <w:t>Vincular a 10000 Persona(s) priorizando jóvenes, en acciones pedagógicas y de apropiación que fortalezcan la identidad cultural el respeto por las instituciones la confianza y el orgullo por la ciudad</w:t>
            </w:r>
          </w:p>
        </w:tc>
        <w:tc>
          <w:tcPr>
            <w:tcW w:w="1095" w:type="dxa"/>
          </w:tcPr>
          <w:p w:rsidR="0043135B" w:rsidRDefault="0043135B" w:rsidP="00863609">
            <w:r>
              <w:t>69%</w:t>
            </w:r>
          </w:p>
        </w:tc>
        <w:tc>
          <w:tcPr>
            <w:tcW w:w="1005" w:type="dxa"/>
          </w:tcPr>
          <w:p w:rsidR="0043135B" w:rsidRDefault="0043135B" w:rsidP="00863609">
            <w:r>
              <w:t>52%</w:t>
            </w:r>
          </w:p>
        </w:tc>
      </w:tr>
    </w:tbl>
    <w:p w:rsidR="0043135B" w:rsidRDefault="0043135B" w:rsidP="0043135B">
      <w:pPr>
        <w:jc w:val="center"/>
      </w:pPr>
      <w:r>
        <w:rPr>
          <w:b/>
          <w:bCs/>
          <w:sz w:val="18"/>
          <w:szCs w:val="18"/>
        </w:rPr>
        <w:t>Fuente:</w:t>
      </w:r>
      <w:r>
        <w:rPr>
          <w:sz w:val="18"/>
          <w:szCs w:val="18"/>
        </w:rPr>
        <w:t xml:space="preserve"> Reporte de Avance Fisico corte 30 de septiembre, información suministrada por la Secretaría Distrital de Planeación (2025). </w:t>
      </w:r>
    </w:p>
    <w:p w:rsidR="0043135B" w:rsidRDefault="0043135B" w:rsidP="0043135B">
      <w:pPr>
        <w:jc w:val="both"/>
      </w:pPr>
      <w:r>
        <w:t>En las inversiones de Participación, es importante relacionar que once (11) Entidades tienen un avance menor del 35% en sus metas de participación, adicionalmente, el informe reciente del Observatorio de Gestión Local de la Secretaría Distrital de Gobierno sobre el panorama de la participación en Bogotá reveló desafíos importantes (cifras recientes):</w:t>
      </w:r>
    </w:p>
    <w:p w:rsidR="0043135B" w:rsidRDefault="0043135B" w:rsidP="0043135B">
      <w:pPr>
        <w:jc w:val="both"/>
      </w:pPr>
      <w:r>
        <w:t>Ahora bien, sobre los datos de la participación ciudadana reportada, solo el 24% de los encuestados afirmó haber participado en algún espacio ciudadano en los últimos años.</w:t>
      </w:r>
    </w:p>
    <w:p w:rsidR="0043135B" w:rsidRDefault="0043135B" w:rsidP="0043135B">
      <w:pPr>
        <w:jc w:val="both"/>
      </w:pPr>
      <w:r>
        <w:t>El desconocimiento de mecanismos, más del 60% de los bogotanos desconoce los mecanismos formales de participación ciudadana, sobre la percepción de Riesgo y Utilidad:</w:t>
      </w:r>
    </w:p>
    <w:p w:rsidR="0043135B" w:rsidRDefault="0043135B" w:rsidP="0043135B">
      <w:pPr>
        <w:numPr>
          <w:ilvl w:val="0"/>
          <w:numId w:val="75"/>
        </w:numPr>
        <w:spacing w:line="259" w:lineRule="auto"/>
        <w:jc w:val="both"/>
      </w:pPr>
      <w:r>
        <w:t>El 64% considera que participar puede ser peligroso.</w:t>
      </w:r>
    </w:p>
    <w:p w:rsidR="0043135B" w:rsidRDefault="0043135B" w:rsidP="0043135B">
      <w:pPr>
        <w:numPr>
          <w:ilvl w:val="0"/>
          <w:numId w:val="75"/>
        </w:numPr>
        <w:spacing w:after="160" w:line="259" w:lineRule="auto"/>
        <w:jc w:val="both"/>
      </w:pPr>
      <w:r>
        <w:t>El 47% afirma que participar "no sirve para nada".</w:t>
      </w:r>
    </w:p>
    <w:p w:rsidR="0043135B" w:rsidRDefault="0043135B" w:rsidP="0043135B">
      <w:pPr>
        <w:jc w:val="both"/>
      </w:pPr>
      <w:r>
        <w:t>Ahora bien, en relación a la motivación de la participació, el 46% de la ciudadanía participa buscando mejorar su situación personal, mientras que solo el 23% lo hace por el bienestar colectivo.</w:t>
      </w:r>
    </w:p>
    <w:p w:rsidR="0043135B" w:rsidRDefault="0043135B" w:rsidP="0043135B"/>
    <w:p w:rsidR="0043135B" w:rsidRDefault="0043135B" w:rsidP="0043135B">
      <w:pPr>
        <w:rPr>
          <w:b/>
          <w:bCs/>
        </w:rPr>
      </w:pPr>
      <w:r>
        <w:rPr>
          <w:b/>
          <w:bCs/>
        </w:rPr>
        <w:t>Algunos aspectos de la Ejecución del Plan Distrital de Desarrollo:</w:t>
      </w:r>
    </w:p>
    <w:p w:rsidR="0043135B" w:rsidRDefault="0043135B" w:rsidP="0043135B"/>
    <w:tbl>
      <w:tblPr>
        <w:tblW w:w="8838" w:type="dxa"/>
        <w:tblBorders>
          <w:top w:val="nil"/>
          <w:left w:val="nil"/>
          <w:bottom w:val="nil"/>
          <w:right w:val="nil"/>
          <w:insideH w:val="nil"/>
          <w:insideV w:val="nil"/>
        </w:tblBorders>
        <w:tblLayout w:type="fixed"/>
        <w:tblLook w:val="0600" w:firstRow="0" w:lastRow="0" w:firstColumn="0" w:lastColumn="0" w:noHBand="1" w:noVBand="1"/>
      </w:tblPr>
      <w:tblGrid>
        <w:gridCol w:w="6569"/>
        <w:gridCol w:w="2269"/>
      </w:tblGrid>
      <w:tr w:rsidR="0043135B" w:rsidTr="00863609">
        <w:trPr>
          <w:trHeight w:val="975"/>
        </w:trPr>
        <w:tc>
          <w:tcPr>
            <w:tcW w:w="6568"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Entidad</w:t>
            </w:r>
          </w:p>
        </w:tc>
        <w:tc>
          <w:tcPr>
            <w:tcW w:w="2269"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Avance Físico de Indicadores PDD Galán -Promedio Plan</w:t>
            </w:r>
          </w:p>
        </w:tc>
      </w:tr>
      <w:tr w:rsidR="0043135B" w:rsidTr="00863609">
        <w:trPr>
          <w:trHeight w:val="300"/>
        </w:trPr>
        <w:tc>
          <w:tcPr>
            <w:tcW w:w="656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Caja de la Vivienda Popular</w:t>
            </w:r>
          </w:p>
        </w:tc>
        <w:tc>
          <w:tcPr>
            <w:tcW w:w="2269"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12%</w:t>
            </w:r>
          </w:p>
        </w:tc>
      </w:tr>
      <w:tr w:rsidR="0043135B" w:rsidTr="00863609">
        <w:trPr>
          <w:trHeight w:val="300"/>
        </w:trPr>
        <w:tc>
          <w:tcPr>
            <w:tcW w:w="656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Fundación Gilberto Alzate Avendaño</w:t>
            </w:r>
          </w:p>
        </w:tc>
        <w:tc>
          <w:tcPr>
            <w:tcW w:w="2269"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16%</w:t>
            </w:r>
          </w:p>
        </w:tc>
      </w:tr>
      <w:tr w:rsidR="0043135B" w:rsidTr="00863609">
        <w:trPr>
          <w:trHeight w:val="300"/>
        </w:trPr>
        <w:tc>
          <w:tcPr>
            <w:tcW w:w="656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Orquesta Filarmónica de Bogotá</w:t>
            </w:r>
          </w:p>
        </w:tc>
        <w:tc>
          <w:tcPr>
            <w:tcW w:w="2269"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18%</w:t>
            </w:r>
          </w:p>
        </w:tc>
      </w:tr>
      <w:tr w:rsidR="0043135B" w:rsidTr="00863609">
        <w:trPr>
          <w:trHeight w:val="300"/>
        </w:trPr>
        <w:tc>
          <w:tcPr>
            <w:tcW w:w="656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Secretaría Distrital de Hacienda</w:t>
            </w:r>
          </w:p>
        </w:tc>
        <w:tc>
          <w:tcPr>
            <w:tcW w:w="2269"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22%</w:t>
            </w:r>
          </w:p>
        </w:tc>
      </w:tr>
      <w:tr w:rsidR="0043135B" w:rsidTr="00863609">
        <w:trPr>
          <w:trHeight w:val="300"/>
        </w:trPr>
        <w:tc>
          <w:tcPr>
            <w:tcW w:w="656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Instituto Distrital de Recreación y Deporte</w:t>
            </w:r>
          </w:p>
        </w:tc>
        <w:tc>
          <w:tcPr>
            <w:tcW w:w="2269"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24%</w:t>
            </w:r>
          </w:p>
        </w:tc>
      </w:tr>
      <w:tr w:rsidR="0043135B" w:rsidTr="00863609">
        <w:trPr>
          <w:trHeight w:val="300"/>
        </w:trPr>
        <w:tc>
          <w:tcPr>
            <w:tcW w:w="656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Instituto de Desarrollo Urbano</w:t>
            </w:r>
          </w:p>
        </w:tc>
        <w:tc>
          <w:tcPr>
            <w:tcW w:w="2269"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32%</w:t>
            </w:r>
          </w:p>
        </w:tc>
      </w:tr>
      <w:tr w:rsidR="0043135B" w:rsidTr="00863609">
        <w:trPr>
          <w:trHeight w:val="300"/>
        </w:trPr>
        <w:tc>
          <w:tcPr>
            <w:tcW w:w="656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Instituto Distrital de las Artes</w:t>
            </w:r>
          </w:p>
        </w:tc>
        <w:tc>
          <w:tcPr>
            <w:tcW w:w="2269"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33%</w:t>
            </w:r>
          </w:p>
        </w:tc>
      </w:tr>
      <w:tr w:rsidR="0043135B" w:rsidTr="00863609">
        <w:trPr>
          <w:trHeight w:val="300"/>
        </w:trPr>
        <w:tc>
          <w:tcPr>
            <w:tcW w:w="656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Instituto Distrital de Turismo</w:t>
            </w:r>
          </w:p>
        </w:tc>
        <w:tc>
          <w:tcPr>
            <w:tcW w:w="2269"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33%</w:t>
            </w:r>
          </w:p>
        </w:tc>
      </w:tr>
      <w:tr w:rsidR="0043135B" w:rsidTr="00863609">
        <w:trPr>
          <w:trHeight w:val="300"/>
        </w:trPr>
        <w:tc>
          <w:tcPr>
            <w:tcW w:w="656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Canal Capital</w:t>
            </w:r>
          </w:p>
        </w:tc>
        <w:tc>
          <w:tcPr>
            <w:tcW w:w="2269"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34%</w:t>
            </w:r>
          </w:p>
        </w:tc>
      </w:tr>
      <w:tr w:rsidR="0043135B" w:rsidTr="00863609">
        <w:trPr>
          <w:trHeight w:val="300"/>
        </w:trPr>
        <w:tc>
          <w:tcPr>
            <w:tcW w:w="6568"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Empresa Metro de Bogotá S.A.</w:t>
            </w:r>
          </w:p>
        </w:tc>
        <w:tc>
          <w:tcPr>
            <w:tcW w:w="2269"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jc w:val="center"/>
            </w:pPr>
            <w:r>
              <w:t>37%</w:t>
            </w:r>
          </w:p>
        </w:tc>
      </w:tr>
    </w:tbl>
    <w:p w:rsidR="0043135B" w:rsidRDefault="0043135B" w:rsidP="0043135B"/>
    <w:p w:rsidR="0043135B" w:rsidRDefault="0043135B" w:rsidP="0043135B">
      <w:pPr>
        <w:jc w:val="both"/>
      </w:pPr>
      <w:r>
        <w:t>Como se puede observar, 10 Entidades tienen un promedio de avance físico de metas por debajo del 37%, esto implica una alerta de ciudad, por cuanto sus inversiones no corresponden a los compromisos adquiridos por parte de la Administración Distrital provocando un retraso de la ejecución y de la materialización de los respuestas a las necesidad ciudadanas.</w:t>
      </w:r>
    </w:p>
    <w:p w:rsidR="0043135B" w:rsidRDefault="0043135B" w:rsidP="0043135B">
      <w:pPr>
        <w:jc w:val="both"/>
      </w:pPr>
    </w:p>
    <w:p w:rsidR="0043135B" w:rsidRDefault="0043135B" w:rsidP="0043135B">
      <w:pPr>
        <w:spacing w:before="240" w:after="240"/>
        <w:jc w:val="both"/>
        <w:rPr>
          <w:b/>
          <w:bCs/>
          <w:i/>
          <w:iCs/>
        </w:rPr>
      </w:pPr>
      <w:r>
        <w:rPr>
          <w:b/>
          <w:bCs/>
          <w:i/>
          <w:iCs/>
        </w:rPr>
        <w:t>Disminución del Índice de sostenibilidad fiscal de Bogotá, DNP 2025 (vigencia 2024)</w:t>
      </w:r>
    </w:p>
    <w:p w:rsidR="0043135B" w:rsidRDefault="0043135B" w:rsidP="0043135B">
      <w:pPr>
        <w:spacing w:before="240" w:after="240"/>
        <w:jc w:val="both"/>
      </w:pPr>
      <w:r>
        <w:t>Este indicador mide la capacidad de la Entidad Territorial para ejecutar los recursos comprometidos para inversión y se calcula como la relación entre los pagos de gastos de inversión como proporción de los compromisos. Se registra disminución en el puntaje del indicador de Capacidad de Ejecución de inversión, en referencia al año anterior, no obstante, en la vigencia 2024, la entidad presentó falencias, realizando un ejercicio regular, evidenciando porcentajes bajos de ejecución en relación a lo comprometido.</w:t>
      </w:r>
    </w:p>
    <w:p w:rsidR="0043135B" w:rsidRDefault="0043135B" w:rsidP="0043135B">
      <w:pPr>
        <w:spacing w:before="240" w:after="240"/>
        <w:jc w:val="both"/>
      </w:pPr>
    </w:p>
    <w:p w:rsidR="0043135B" w:rsidRDefault="0043135B" w:rsidP="0043135B">
      <w:pPr>
        <w:spacing w:before="240" w:after="240"/>
        <w:jc w:val="both"/>
      </w:pPr>
    </w:p>
    <w:p w:rsidR="0043135B" w:rsidRDefault="0043135B" w:rsidP="0043135B">
      <w:pPr>
        <w:spacing w:before="240" w:after="240"/>
        <w:jc w:val="both"/>
      </w:pPr>
      <w:r>
        <w:rPr>
          <w:noProof/>
          <w:lang w:val="es-CO"/>
        </w:rPr>
        <w:drawing>
          <wp:inline distT="114300" distB="114300" distL="114300" distR="114300" wp14:anchorId="5C58F821" wp14:editId="5C34047F">
            <wp:extent cx="5612130" cy="406400"/>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5612130" cy="406400"/>
                    </a:xfrm>
                    <a:prstGeom prst="rect">
                      <a:avLst/>
                    </a:prstGeom>
                    <a:ln/>
                  </pic:spPr>
                </pic:pic>
              </a:graphicData>
            </a:graphic>
          </wp:inline>
        </w:drawing>
      </w:r>
    </w:p>
    <w:p w:rsidR="0043135B" w:rsidRDefault="0043135B" w:rsidP="0043135B">
      <w:pPr>
        <w:spacing w:before="240" w:after="240"/>
        <w:jc w:val="both"/>
      </w:pPr>
      <w:r>
        <w:rPr>
          <w:noProof/>
          <w:lang w:val="es-CO"/>
        </w:rPr>
        <w:drawing>
          <wp:inline distT="114300" distB="114300" distL="114300" distR="114300" wp14:anchorId="529D554D" wp14:editId="78DE4AA7">
            <wp:extent cx="5612130" cy="1054100"/>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5612130" cy="1054100"/>
                    </a:xfrm>
                    <a:prstGeom prst="rect">
                      <a:avLst/>
                    </a:prstGeom>
                    <a:ln/>
                  </pic:spPr>
                </pic:pic>
              </a:graphicData>
            </a:graphic>
          </wp:inline>
        </w:drawing>
      </w:r>
    </w:p>
    <w:p w:rsidR="0043135B" w:rsidRDefault="0043135B" w:rsidP="0043135B">
      <w:pPr>
        <w:jc w:val="both"/>
      </w:pPr>
      <w:r>
        <w:rPr>
          <w:noProof/>
          <w:lang w:val="es-CO"/>
        </w:rPr>
        <w:drawing>
          <wp:anchor distT="114300" distB="114300" distL="114300" distR="114300" simplePos="0" relativeHeight="251661312" behindDoc="1" locked="0" layoutInCell="1" hidden="0" allowOverlap="1" wp14:anchorId="02E2E727" wp14:editId="55CA67A8">
            <wp:simplePos x="0" y="0"/>
            <wp:positionH relativeFrom="column">
              <wp:posOffset>-133349</wp:posOffset>
            </wp:positionH>
            <wp:positionV relativeFrom="paragraph">
              <wp:posOffset>119063</wp:posOffset>
            </wp:positionV>
            <wp:extent cx="2972753" cy="1928499"/>
            <wp:effectExtent l="0" t="0" r="0" b="0"/>
            <wp:wrapNone/>
            <wp:docPr id="1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2972753" cy="1928499"/>
                    </a:xfrm>
                    <a:prstGeom prst="rect">
                      <a:avLst/>
                    </a:prstGeom>
                    <a:ln/>
                  </pic:spPr>
                </pic:pic>
              </a:graphicData>
            </a:graphic>
          </wp:anchor>
        </w:drawing>
      </w:r>
      <w:r>
        <w:rPr>
          <w:noProof/>
          <w:lang w:val="es-CO"/>
        </w:rPr>
        <w:drawing>
          <wp:anchor distT="114300" distB="114300" distL="114300" distR="114300" simplePos="0" relativeHeight="251662336" behindDoc="1" locked="0" layoutInCell="1" hidden="0" allowOverlap="1" wp14:anchorId="50F7837B" wp14:editId="427BE24C">
            <wp:simplePos x="0" y="0"/>
            <wp:positionH relativeFrom="column">
              <wp:posOffset>2924175</wp:posOffset>
            </wp:positionH>
            <wp:positionV relativeFrom="paragraph">
              <wp:posOffset>142875</wp:posOffset>
            </wp:positionV>
            <wp:extent cx="2759717" cy="1877824"/>
            <wp:effectExtent l="0" t="0" r="0" b="0"/>
            <wp:wrapNone/>
            <wp:docPr id="1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2759717" cy="1877824"/>
                    </a:xfrm>
                    <a:prstGeom prst="rect">
                      <a:avLst/>
                    </a:prstGeom>
                    <a:ln/>
                  </pic:spPr>
                </pic:pic>
              </a:graphicData>
            </a:graphic>
          </wp:anchor>
        </w:drawing>
      </w:r>
    </w:p>
    <w:p w:rsidR="0043135B" w:rsidRDefault="0043135B" w:rsidP="0043135B">
      <w:pPr>
        <w:jc w:val="center"/>
      </w:pPr>
    </w:p>
    <w:p w:rsidR="0043135B" w:rsidRDefault="0043135B" w:rsidP="0043135B">
      <w:pPr>
        <w:jc w:val="center"/>
      </w:pPr>
    </w:p>
    <w:p w:rsidR="0043135B" w:rsidRDefault="0043135B" w:rsidP="0043135B">
      <w:pPr>
        <w:jc w:val="center"/>
      </w:pPr>
    </w:p>
    <w:p w:rsidR="0043135B" w:rsidRDefault="0043135B" w:rsidP="0043135B">
      <w:pPr>
        <w:jc w:val="center"/>
        <w:rPr>
          <w:b/>
          <w:bCs/>
        </w:rPr>
      </w:pPr>
    </w:p>
    <w:p w:rsidR="0043135B" w:rsidRDefault="0043135B" w:rsidP="0043135B">
      <w:pPr>
        <w:jc w:val="center"/>
        <w:rPr>
          <w:b/>
          <w:bCs/>
        </w:rPr>
      </w:pPr>
    </w:p>
    <w:p w:rsidR="0043135B" w:rsidRDefault="0043135B" w:rsidP="0043135B">
      <w:pPr>
        <w:jc w:val="center"/>
        <w:rPr>
          <w:b/>
          <w:bCs/>
        </w:rPr>
      </w:pPr>
    </w:p>
    <w:p w:rsidR="0043135B" w:rsidRDefault="0043135B" w:rsidP="0043135B">
      <w:pPr>
        <w:jc w:val="center"/>
        <w:rPr>
          <w:b/>
          <w:bCs/>
        </w:rPr>
      </w:pPr>
    </w:p>
    <w:p w:rsidR="0043135B" w:rsidRDefault="0043135B" w:rsidP="0043135B">
      <w:pPr>
        <w:jc w:val="center"/>
        <w:rPr>
          <w:b/>
          <w:bCs/>
        </w:rPr>
      </w:pPr>
    </w:p>
    <w:p w:rsidR="0043135B" w:rsidRDefault="0043135B" w:rsidP="0043135B">
      <w:pPr>
        <w:jc w:val="both"/>
      </w:pPr>
      <w:r>
        <w:t xml:space="preserve">Como se puede observar en las gráficas, las ciudades de Bogotá y Barranquilla lideran el IDF en el grupo. El de menor desempeño es Cali, con una brecha de 18,7 puntos con Bogotá. Sin embargo, Bogotá bajó su capacidad en 2024, debido a los problemas de ejecución. </w:t>
      </w:r>
    </w:p>
    <w:p w:rsidR="0043135B" w:rsidRDefault="0043135B" w:rsidP="0043135B">
      <w:pPr>
        <w:spacing w:after="240" w:line="276" w:lineRule="auto"/>
        <w:jc w:val="both"/>
        <w:rPr>
          <w:b/>
          <w:bCs/>
          <w:i/>
          <w:iCs/>
          <w:color w:val="1B1C1D"/>
        </w:rPr>
      </w:pPr>
      <w:r>
        <w:rPr>
          <w:b/>
          <w:bCs/>
          <w:i/>
          <w:iCs/>
          <w:color w:val="1B1C1D"/>
        </w:rPr>
        <w:t xml:space="preserve">Análisis del Marco Fiscal de Mediano Plazo </w:t>
      </w:r>
    </w:p>
    <w:p w:rsidR="0043135B" w:rsidRDefault="0043135B" w:rsidP="0043135B">
      <w:pPr>
        <w:spacing w:after="240" w:line="276" w:lineRule="auto"/>
        <w:jc w:val="both"/>
        <w:rPr>
          <w:color w:val="1B1C1D"/>
        </w:rPr>
      </w:pPr>
      <w:r>
        <w:rPr>
          <w:color w:val="1B1C1D"/>
        </w:rPr>
        <w:t xml:space="preserve">Ahora bien, sobre el Marco Fiscal de Mediano Plazo (MFMP) 2026-2036, presentamos a continuación el resumen de cifras que la Administración suministro con base en información propia y estadísticas entregadas del DNP 2025. a continuación presentación el análisis por capítulo: </w:t>
      </w:r>
    </w:p>
    <w:tbl>
      <w:tblPr>
        <w:tblW w:w="8838" w:type="dxa"/>
        <w:tblBorders>
          <w:top w:val="nil"/>
          <w:left w:val="nil"/>
          <w:bottom w:val="nil"/>
          <w:right w:val="nil"/>
          <w:insideH w:val="nil"/>
          <w:insideV w:val="nil"/>
        </w:tblBorders>
        <w:tblLayout w:type="fixed"/>
        <w:tblLook w:val="0600" w:firstRow="0" w:lastRow="0" w:firstColumn="0" w:lastColumn="0" w:noHBand="1" w:noVBand="1"/>
      </w:tblPr>
      <w:tblGrid>
        <w:gridCol w:w="2666"/>
        <w:gridCol w:w="6172"/>
      </w:tblGrid>
      <w:tr w:rsidR="0043135B" w:rsidTr="00863609">
        <w:trPr>
          <w:trHeight w:val="555"/>
        </w:trPr>
        <w:tc>
          <w:tcPr>
            <w:tcW w:w="2666"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Capítulos MFMP</w:t>
            </w:r>
          </w:p>
        </w:tc>
        <w:tc>
          <w:tcPr>
            <w:tcW w:w="6171"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Datos Clave</w:t>
            </w:r>
          </w:p>
        </w:tc>
      </w:tr>
      <w:tr w:rsidR="0043135B" w:rsidTr="00863609">
        <w:trPr>
          <w:trHeight w:val="2370"/>
        </w:trPr>
        <w:tc>
          <w:tcPr>
            <w:tcW w:w="2666"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Capítulo 1: Contexto Macroeconómico y Perspectivas (2024-2025)</w:t>
            </w:r>
          </w:p>
        </w:tc>
        <w:tc>
          <w:tcPr>
            <w:tcW w:w="6171"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Economía de Bogotá: Creció 1.9% en 2024. Se proyecta un crecimiento del 3.1% en 2025, superando la proyección nacional (2.7%). Mercado Laboral: Muestra una recuperación sólida, con la tasa de desempleo en un dígito en el primer semestre de 2025. Inflación (Sep. 2025): Bogotá registró 5.42%, ligeramente superior al total nacional (5.18%).</w:t>
            </w:r>
          </w:p>
        </w:tc>
      </w:tr>
      <w:tr w:rsidR="0043135B" w:rsidTr="00863609">
        <w:trPr>
          <w:trHeight w:val="2265"/>
        </w:trPr>
        <w:tc>
          <w:tcPr>
            <w:tcW w:w="2666"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Capítulo 2: Cierre Fiscal 2024</w:t>
            </w:r>
          </w:p>
        </w:tc>
        <w:tc>
          <w:tcPr>
            <w:tcW w:w="6171"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Balance Fiscal: Mejoró, pasando de un déficit de -0.9% del PIB en 2023 a -0.6% del PIB en 2024. Ingresos: Alcanzaron $24.9 billones, creciendo 8.4% respecto a 2023, impulsados por el Impuesto Predial y el ICA. Gastos: Aumentaron 3.9% ($27.5 billones). El principal motor fue la Inversión Directa, que creció 9.5% ($10.5 billones).</w:t>
            </w:r>
          </w:p>
        </w:tc>
      </w:tr>
      <w:tr w:rsidR="0043135B" w:rsidTr="00863609">
        <w:trPr>
          <w:trHeight w:val="2565"/>
        </w:trPr>
        <w:tc>
          <w:tcPr>
            <w:tcW w:w="2666"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Capítulo 3: Proyección del Cierre Fiscal 2025</w:t>
            </w:r>
          </w:p>
        </w:tc>
        <w:tc>
          <w:tcPr>
            <w:tcW w:w="6171"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Balance Fiscal: Se proyecta un deterioro temporal, alcanzando un déficit de -1.5% del PIB distrital. Gastos: Se disparan a $33.3 billones, con un crecimiento de 21.4%, impulsado por el aumento del 22.2% en la Inversión ($27.4 billones, 6% del PIB). Ingresos: Estimados en $26.4 billones (6.1% más), aunque los recursos de capital caerían debido a menores rendimientos financieros y dividendos.</w:t>
            </w:r>
          </w:p>
        </w:tc>
      </w:tr>
      <w:tr w:rsidR="0043135B" w:rsidTr="00863609">
        <w:trPr>
          <w:trHeight w:val="2940"/>
        </w:trPr>
        <w:tc>
          <w:tcPr>
            <w:tcW w:w="2666"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Capítulo 4: Plan Financiero 2026</w:t>
            </w:r>
          </w:p>
        </w:tc>
        <w:tc>
          <w:tcPr>
            <w:tcW w:w="6171"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Crecimiento Económico Bogotá: Proyectado en 3.4%, impulsado por la inversión pública en infraestructura y sectores clave como la industria manufacturera y la construcción. Balance Fiscal: Se corrige parcialmente a -1.3% del PIB. Ingresos: Aumentarían 8.2% ($28.6 billones), con el ICA, Predial (incremento del 10.4%) y transferencias corrientes como principales rubros. Gastos: Aumentan 4.6%. Destaca un aumento del 49% en el servicio de la deuda.</w:t>
            </w:r>
          </w:p>
        </w:tc>
      </w:tr>
      <w:tr w:rsidR="0043135B" w:rsidTr="00863609">
        <w:trPr>
          <w:trHeight w:val="2850"/>
        </w:trPr>
        <w:tc>
          <w:tcPr>
            <w:tcW w:w="2666"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Capítulo 5: Estrategia Fiscal de Mediano Plazo (2027-2036)</w:t>
            </w:r>
          </w:p>
        </w:tc>
        <w:tc>
          <w:tcPr>
            <w:tcW w:w="6171"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Sostenibilidad Fiscal: El balance primario tendrá una corrección sostenida, con déficits solo hasta 2027, y superávits sostenidos a partir de 2028 (promedio de 0.4% del PIB). Deuda: La deuda del Distrito es sostenible y alcanzaría un máximo de 4.1% del PIB en 2028, con una senda descendente posterior. Motor Económico: Bogotá crecería en promedio 3.4%, 0.6 p.p. más que el promedio nacional, gracias a la sólida inversión pública y el dinamismo del sector servicios.</w:t>
            </w:r>
          </w:p>
        </w:tc>
      </w:tr>
    </w:tbl>
    <w:p w:rsidR="0043135B" w:rsidRDefault="0043135B" w:rsidP="0043135B">
      <w:pPr>
        <w:spacing w:after="240" w:line="276" w:lineRule="auto"/>
        <w:jc w:val="both"/>
        <w:rPr>
          <w:color w:val="1B1C1D"/>
        </w:rPr>
      </w:pPr>
    </w:p>
    <w:p w:rsidR="0043135B" w:rsidRDefault="0043135B" w:rsidP="0043135B">
      <w:pPr>
        <w:spacing w:after="240" w:line="276" w:lineRule="auto"/>
        <w:jc w:val="both"/>
        <w:rPr>
          <w:color w:val="1B1C1D"/>
        </w:rPr>
      </w:pPr>
    </w:p>
    <w:p w:rsidR="0043135B" w:rsidRDefault="0043135B" w:rsidP="0043135B">
      <w:pPr>
        <w:spacing w:after="240" w:line="276" w:lineRule="auto"/>
        <w:jc w:val="both"/>
        <w:rPr>
          <w:color w:val="1B1C1D"/>
        </w:rPr>
      </w:pPr>
    </w:p>
    <w:p w:rsidR="0043135B" w:rsidRDefault="0043135B" w:rsidP="0043135B">
      <w:pPr>
        <w:spacing w:after="240" w:line="276" w:lineRule="auto"/>
        <w:jc w:val="both"/>
        <w:rPr>
          <w:color w:val="1B1C1D"/>
          <w:sz w:val="27"/>
          <w:szCs w:val="27"/>
        </w:rPr>
      </w:pPr>
      <w:r>
        <w:rPr>
          <w:color w:val="1B1C1D"/>
        </w:rPr>
        <w:t xml:space="preserve">Ahora bien, presentamos un resumen del Plan Financiero de Bogotá para 2026, como complemento al análisis de la exposición de motivos: </w:t>
      </w:r>
    </w:p>
    <w:tbl>
      <w:tblPr>
        <w:tblW w:w="8838" w:type="dxa"/>
        <w:tblBorders>
          <w:top w:val="nil"/>
          <w:left w:val="nil"/>
          <w:bottom w:val="nil"/>
          <w:right w:val="nil"/>
          <w:insideH w:val="nil"/>
          <w:insideV w:val="nil"/>
        </w:tblBorders>
        <w:tblLayout w:type="fixed"/>
        <w:tblLook w:val="0600" w:firstRow="0" w:lastRow="0" w:firstColumn="0" w:lastColumn="0" w:noHBand="1" w:noVBand="1"/>
      </w:tblPr>
      <w:tblGrid>
        <w:gridCol w:w="1944"/>
        <w:gridCol w:w="6894"/>
      </w:tblGrid>
      <w:tr w:rsidR="0043135B" w:rsidTr="00863609">
        <w:trPr>
          <w:trHeight w:val="555"/>
        </w:trPr>
        <w:tc>
          <w:tcPr>
            <w:tcW w:w="1944"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Título</w:t>
            </w:r>
          </w:p>
        </w:tc>
        <w:tc>
          <w:tcPr>
            <w:tcW w:w="6893"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Datos Clave</w:t>
            </w:r>
          </w:p>
        </w:tc>
      </w:tr>
      <w:tr w:rsidR="0043135B" w:rsidTr="00863609">
        <w:trPr>
          <w:trHeight w:val="1037"/>
        </w:trPr>
        <w:tc>
          <w:tcPr>
            <w:tcW w:w="1944"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Perspectiva Económica</w:t>
            </w:r>
          </w:p>
        </w:tc>
        <w:tc>
          <w:tcPr>
            <w:tcW w:w="6893"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Se proyecta que la economía de Bogotá crezca 3.4% en 2026, manteniendo su ritmo superior al nacional, impulsada por la inversión pública.</w:t>
            </w:r>
          </w:p>
        </w:tc>
      </w:tr>
      <w:tr w:rsidR="0043135B" w:rsidTr="00863609">
        <w:trPr>
          <w:trHeight w:val="422"/>
        </w:trPr>
        <w:tc>
          <w:tcPr>
            <w:tcW w:w="1944"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Balance Fiscal</w:t>
            </w:r>
          </w:p>
        </w:tc>
        <w:tc>
          <w:tcPr>
            <w:tcW w:w="6893"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El déficit fiscal mejoraría levemente a -1.3% del PIB distrital. El balance primario sería de -0.9% del PIB, que constituye la meta establecida.</w:t>
            </w:r>
          </w:p>
        </w:tc>
      </w:tr>
      <w:tr w:rsidR="0043135B" w:rsidTr="00863609">
        <w:trPr>
          <w:trHeight w:val="1410"/>
        </w:trPr>
        <w:tc>
          <w:tcPr>
            <w:tcW w:w="1944"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Ingresos</w:t>
            </w:r>
          </w:p>
        </w:tc>
        <w:tc>
          <w:tcPr>
            <w:tcW w:w="6893"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Los ingresos aumentarían 8.2%, sumando $28.6 billones, impulsados por el ICA, el Impuesto Predial (crecimiento del 10.4% por aumento en la base catastral y avalúos) y las transferencias corrientes.</w:t>
            </w:r>
          </w:p>
        </w:tc>
      </w:tr>
      <w:tr w:rsidR="0043135B" w:rsidTr="00863609">
        <w:trPr>
          <w:trHeight w:val="1410"/>
        </w:trPr>
        <w:tc>
          <w:tcPr>
            <w:tcW w:w="1944"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Gastos</w:t>
            </w:r>
          </w:p>
        </w:tc>
        <w:tc>
          <w:tcPr>
            <w:tcW w:w="6893" w:type="dxa"/>
            <w:tcBorders>
              <w:top w:val="single" w:sz="5" w:space="0" w:color="000000"/>
              <w:left w:val="single" w:sz="5" w:space="0" w:color="000000"/>
              <w:bottom w:val="single" w:sz="5" w:space="0" w:color="000000"/>
              <w:right w:val="single" w:sz="5" w:space="0" w:color="000000"/>
            </w:tcBorders>
            <w:tcMar>
              <w:top w:w="120" w:type="dxa"/>
              <w:left w:w="180" w:type="dxa"/>
              <w:bottom w:w="120" w:type="dxa"/>
              <w:right w:w="180" w:type="dxa"/>
            </w:tcMar>
          </w:tcPr>
          <w:p w:rsidR="0043135B" w:rsidRDefault="0043135B" w:rsidP="00863609">
            <w:pPr>
              <w:spacing w:before="240" w:line="276" w:lineRule="auto"/>
              <w:jc w:val="both"/>
              <w:rPr>
                <w:color w:val="1B1C1D"/>
              </w:rPr>
            </w:pPr>
            <w:r>
              <w:rPr>
                <w:color w:val="1B1C1D"/>
              </w:rPr>
              <w:t>Los gastos aumentarían 4.6%. Se destaca un fuerte crecimiento en el servicio de la deuda (49%). El aumento se contrarresta levemente por una caída proyectada en los gastos de funcionamiento (-0.3%).</w:t>
            </w:r>
          </w:p>
        </w:tc>
      </w:tr>
    </w:tbl>
    <w:p w:rsidR="0043135B" w:rsidRDefault="0043135B" w:rsidP="0043135B">
      <w:pPr>
        <w:spacing w:before="240" w:line="276" w:lineRule="auto"/>
        <w:jc w:val="both"/>
        <w:rPr>
          <w:color w:val="1B1C1D"/>
        </w:rPr>
      </w:pPr>
      <w:r>
        <w:rPr>
          <w:color w:val="1B1C1D"/>
        </w:rPr>
        <w:t xml:space="preserve">Sobre estas cifras podemos identificar las siguientes amenazas del estudio macroeconómico de la Ciudad presentado por la Administración Distrital </w:t>
      </w:r>
    </w:p>
    <w:p w:rsidR="0043135B" w:rsidRDefault="0043135B" w:rsidP="0043135B">
      <w:pPr>
        <w:numPr>
          <w:ilvl w:val="0"/>
          <w:numId w:val="67"/>
        </w:numPr>
        <w:spacing w:before="240" w:line="276" w:lineRule="auto"/>
        <w:jc w:val="both"/>
        <w:rPr>
          <w:color w:val="1B1C1D"/>
        </w:rPr>
      </w:pPr>
      <w:r>
        <w:rPr>
          <w:color w:val="1B1C1D"/>
        </w:rPr>
        <w:t>Deterioro Fiscal a Corto Plazo (2025): El principal reto es el deterioro significativo del balance fiscal proyectado para 2025 (-1.5% del PIB), causado por un aumento del gasto total (21.4%) que supera el crecimiento de los ingresos (6.1%).</w:t>
      </w:r>
    </w:p>
    <w:p w:rsidR="0043135B" w:rsidRDefault="0043135B" w:rsidP="0043135B">
      <w:pPr>
        <w:numPr>
          <w:ilvl w:val="0"/>
          <w:numId w:val="66"/>
        </w:numPr>
        <w:spacing w:line="276" w:lineRule="auto"/>
        <w:jc w:val="both"/>
        <w:rPr>
          <w:color w:val="1B1C1D"/>
        </w:rPr>
      </w:pPr>
      <w:r>
        <w:rPr>
          <w:color w:val="1B1C1D"/>
        </w:rPr>
        <w:t>Aumento del Gasto Rígido: Se observó un alto crecimiento en los gastos de funcionamiento en 2024 (11.6%), especialmente en gastos de personal (16.7%), y un fuerte crecimiento en transferencias corrientes en 2025 (28.8%). Controlar el gasto de funcionamiento es crucial para liberar recursos para inversión.</w:t>
      </w:r>
    </w:p>
    <w:p w:rsidR="0043135B" w:rsidRDefault="0043135B" w:rsidP="0043135B">
      <w:pPr>
        <w:numPr>
          <w:ilvl w:val="0"/>
          <w:numId w:val="66"/>
        </w:numPr>
        <w:spacing w:line="276" w:lineRule="auto"/>
        <w:jc w:val="both"/>
        <w:rPr>
          <w:color w:val="1B1C1D"/>
        </w:rPr>
      </w:pPr>
      <w:r>
        <w:rPr>
          <w:color w:val="1B1C1D"/>
        </w:rPr>
        <w:t>Riesgos en Ingresos: La proyección de ingresos para 2025 incluye una caída en los recursos de capital debido a menores rendimientos financieros y dividendos. Además, el crecimiento de la inversión a futuro dependerá de un incremento "sostenido y permanente de los ingresos fiscales", como los tributarios.</w:t>
      </w:r>
    </w:p>
    <w:p w:rsidR="0043135B" w:rsidRDefault="0043135B" w:rsidP="0043135B">
      <w:pPr>
        <w:numPr>
          <w:ilvl w:val="0"/>
          <w:numId w:val="66"/>
        </w:numPr>
        <w:spacing w:line="276" w:lineRule="auto"/>
        <w:jc w:val="both"/>
        <w:rPr>
          <w:color w:val="1B1C1D"/>
        </w:rPr>
      </w:pPr>
      <w:r>
        <w:rPr>
          <w:color w:val="1B1C1D"/>
        </w:rPr>
        <w:t>Aumento del Servicio de la Deuda (2026): Se proyecta un aumento considerable del 49% en el servicio de la deuda en 2026, lo que restringe los recursos disponibles para otros rubros.</w:t>
      </w:r>
    </w:p>
    <w:p w:rsidR="0043135B" w:rsidRDefault="0043135B" w:rsidP="0043135B">
      <w:pPr>
        <w:numPr>
          <w:ilvl w:val="0"/>
          <w:numId w:val="66"/>
        </w:numPr>
        <w:spacing w:line="276" w:lineRule="auto"/>
        <w:jc w:val="both"/>
        <w:rPr>
          <w:color w:val="1B1C1D"/>
        </w:rPr>
      </w:pPr>
      <w:r>
        <w:rPr>
          <w:color w:val="1B1C1D"/>
        </w:rPr>
        <w:t>Incertidumbre Internacional: Persiste un alto nivel de incertidumbre en las perspectivas de crecimiento global para 2026, principalmente por las tensiones geopolíticas y los cambios en la política comercial.</w:t>
      </w:r>
    </w:p>
    <w:p w:rsidR="0043135B" w:rsidRDefault="0043135B" w:rsidP="0043135B">
      <w:pPr>
        <w:numPr>
          <w:ilvl w:val="0"/>
          <w:numId w:val="66"/>
        </w:numPr>
        <w:pBdr>
          <w:top w:val="nil"/>
          <w:left w:val="nil"/>
          <w:bottom w:val="nil"/>
          <w:right w:val="nil"/>
          <w:between w:val="nil"/>
        </w:pBdr>
        <w:spacing w:line="276" w:lineRule="auto"/>
        <w:jc w:val="both"/>
        <w:rPr>
          <w:color w:val="1B1C1D"/>
        </w:rPr>
      </w:pPr>
      <w:r>
        <w:rPr>
          <w:color w:val="1B1C1D"/>
        </w:rPr>
        <w:t>Deterioro Fiscal de Corto Plazo (2025): El fuerte crecimiento del gasto en 2025, impulsado por la aceleración de la inversión, provoca un incremento notable en el déficit fiscal (-1.5% del PIB), lo que requiere una gestión cautelosa para asegurar la financiación.</w:t>
      </w:r>
    </w:p>
    <w:p w:rsidR="0043135B" w:rsidRDefault="0043135B" w:rsidP="0043135B">
      <w:pPr>
        <w:numPr>
          <w:ilvl w:val="0"/>
          <w:numId w:val="66"/>
        </w:numPr>
        <w:pBdr>
          <w:top w:val="nil"/>
          <w:left w:val="nil"/>
          <w:bottom w:val="nil"/>
          <w:right w:val="nil"/>
          <w:between w:val="nil"/>
        </w:pBdr>
        <w:spacing w:line="276" w:lineRule="auto"/>
        <w:jc w:val="both"/>
        <w:rPr>
          <w:color w:val="1B1C1D"/>
        </w:rPr>
      </w:pPr>
      <w:r>
        <w:rPr>
          <w:color w:val="1B1C1D"/>
        </w:rPr>
        <w:t>Volatilidad en Ingresos y Sectores Clave: Se proyecta una caída en los recursos de capital para 2025 (rendimientos y dividendos) y un menor dinamismo en el recaudo del ICA en 2025 debido al efecto rezagado de la contracción del sector financiero de 2024.</w:t>
      </w:r>
    </w:p>
    <w:p w:rsidR="0043135B" w:rsidRDefault="0043135B" w:rsidP="0043135B">
      <w:pPr>
        <w:numPr>
          <w:ilvl w:val="0"/>
          <w:numId w:val="66"/>
        </w:numPr>
        <w:pBdr>
          <w:top w:val="nil"/>
          <w:left w:val="nil"/>
          <w:bottom w:val="nil"/>
          <w:right w:val="nil"/>
          <w:between w:val="nil"/>
        </w:pBdr>
        <w:spacing w:line="276" w:lineRule="auto"/>
        <w:jc w:val="both"/>
        <w:rPr>
          <w:color w:val="1B1C1D"/>
        </w:rPr>
      </w:pPr>
      <w:r>
        <w:rPr>
          <w:color w:val="1B1C1D"/>
        </w:rPr>
        <w:t>Aumento del Servicio de la Deuda: El Plan Financiero 2026 proyecta un significativo aumento del 49% en el servicio de la deuda, lo que ejercerá una mayor presión sobre el gasto de funcionamiento en el corto plazo.</w:t>
      </w:r>
    </w:p>
    <w:p w:rsidR="0043135B" w:rsidRDefault="0043135B" w:rsidP="0043135B">
      <w:pPr>
        <w:numPr>
          <w:ilvl w:val="0"/>
          <w:numId w:val="66"/>
        </w:numPr>
        <w:pBdr>
          <w:top w:val="nil"/>
          <w:left w:val="nil"/>
          <w:bottom w:val="nil"/>
          <w:right w:val="nil"/>
          <w:between w:val="nil"/>
        </w:pBdr>
        <w:spacing w:line="276" w:lineRule="auto"/>
        <w:jc w:val="both"/>
        <w:rPr>
          <w:color w:val="1B1C1D"/>
        </w:rPr>
      </w:pPr>
      <w:r>
        <w:rPr>
          <w:color w:val="1B1C1D"/>
        </w:rPr>
        <w:t>Riesgos de Incertidumbre: El MFMP reconoce que las perspectivas de crecimiento están influenciadas por una elevada incertidumbre, tanto a nivel internacional (tensiones geopolíticas, política comercial) como nacional (política monetaria y prima de riesgo), lo que introduce riesgos a la baja en las proyecciones.</w:t>
      </w:r>
    </w:p>
    <w:p w:rsidR="0043135B" w:rsidRDefault="0043135B" w:rsidP="0043135B">
      <w:pPr>
        <w:numPr>
          <w:ilvl w:val="0"/>
          <w:numId w:val="66"/>
        </w:numPr>
        <w:pBdr>
          <w:top w:val="nil"/>
          <w:left w:val="nil"/>
          <w:bottom w:val="nil"/>
          <w:right w:val="nil"/>
          <w:between w:val="nil"/>
        </w:pBdr>
        <w:spacing w:after="240" w:line="276" w:lineRule="auto"/>
        <w:jc w:val="both"/>
        <w:rPr>
          <w:color w:val="1B1C1D"/>
        </w:rPr>
      </w:pPr>
      <w:r>
        <w:rPr>
          <w:color w:val="1B1C1D"/>
        </w:rPr>
        <w:t>Riesgo de Acuerdos no Cuantificables: La existencia de Proyectos de Acuerdo sancionados con costo fiscal no cuantificable representa un reto para la planeación financiera, ante la incertidumbre sobre la magnitud de su impacto fiscal.</w:t>
      </w:r>
    </w:p>
    <w:p w:rsidR="0043135B" w:rsidRDefault="0043135B" w:rsidP="0043135B">
      <w:pPr>
        <w:rPr>
          <w:b/>
          <w:bCs/>
        </w:rPr>
      </w:pPr>
      <w:r>
        <w:rPr>
          <w:b/>
          <w:bCs/>
        </w:rPr>
        <w:t xml:space="preserve">3. Temas liminales no atendidos y sin prioridad </w:t>
      </w:r>
    </w:p>
    <w:p w:rsidR="0043135B" w:rsidRDefault="0043135B" w:rsidP="0043135B"/>
    <w:p w:rsidR="0043135B" w:rsidRDefault="0043135B" w:rsidP="0043135B">
      <w:pPr>
        <w:rPr>
          <w:b/>
          <w:bCs/>
          <w:i/>
          <w:iCs/>
        </w:rPr>
      </w:pPr>
      <w:r>
        <w:rPr>
          <w:b/>
          <w:bCs/>
          <w:i/>
          <w:iCs/>
        </w:rPr>
        <w:t>Agua sin un plan claro de acción sobre el abastecimiento</w:t>
      </w:r>
    </w:p>
    <w:p w:rsidR="0043135B" w:rsidRDefault="0043135B" w:rsidP="0043135B">
      <w:pPr>
        <w:pBdr>
          <w:top w:val="nil"/>
          <w:left w:val="nil"/>
          <w:bottom w:val="nil"/>
          <w:right w:val="nil"/>
          <w:between w:val="nil"/>
        </w:pBdr>
        <w:jc w:val="both"/>
        <w:rPr>
          <w:color w:val="000000"/>
        </w:rPr>
      </w:pPr>
      <w:r>
        <w:rPr>
          <w:color w:val="000000"/>
          <w:sz w:val="22"/>
          <w:szCs w:val="22"/>
        </w:rPr>
        <w:t>Uno de los mayores desafíos en el abastecimiento es el alto porcentaje de agua no facturada, resultado de fugas, conexiones ilegales y errores de medición.</w:t>
      </w:r>
    </w:p>
    <w:p w:rsidR="0043135B" w:rsidRDefault="0043135B" w:rsidP="0043135B">
      <w:pPr>
        <w:numPr>
          <w:ilvl w:val="0"/>
          <w:numId w:val="71"/>
        </w:numPr>
        <w:pBdr>
          <w:top w:val="nil"/>
          <w:left w:val="nil"/>
          <w:bottom w:val="nil"/>
          <w:right w:val="nil"/>
          <w:between w:val="nil"/>
        </w:pBdr>
        <w:spacing w:after="160"/>
        <w:jc w:val="both"/>
        <w:rPr>
          <w:color w:val="000000"/>
        </w:rPr>
      </w:pPr>
      <w:r>
        <w:rPr>
          <w:color w:val="000000"/>
          <w:sz w:val="22"/>
          <w:szCs w:val="22"/>
        </w:rPr>
        <w:t>Porcentaje de Pérdida: El índice de agua perdida en Bogotá se estima entre el 37% y el 40% del total de agua que entra en el sistema de distribución.</w:t>
      </w:r>
    </w:p>
    <w:p w:rsidR="0043135B" w:rsidRDefault="0043135B" w:rsidP="0043135B">
      <w:pPr>
        <w:numPr>
          <w:ilvl w:val="0"/>
          <w:numId w:val="71"/>
        </w:numPr>
        <w:pBdr>
          <w:top w:val="nil"/>
          <w:left w:val="nil"/>
          <w:bottom w:val="nil"/>
          <w:right w:val="nil"/>
          <w:between w:val="nil"/>
        </w:pBdr>
        <w:spacing w:after="160"/>
        <w:jc w:val="both"/>
        <w:rPr>
          <w:color w:val="000000"/>
        </w:rPr>
      </w:pPr>
      <w:r>
        <w:rPr>
          <w:color w:val="000000"/>
          <w:sz w:val="22"/>
          <w:szCs w:val="22"/>
        </w:rPr>
        <w:t>Causas Principales: El 40% de estas pérdidas se atribuye a fugas en la red y a conexiones ilegales (fraude).</w:t>
      </w:r>
    </w:p>
    <w:p w:rsidR="0043135B" w:rsidRDefault="0043135B" w:rsidP="0043135B">
      <w:pPr>
        <w:pBdr>
          <w:top w:val="nil"/>
          <w:left w:val="nil"/>
          <w:bottom w:val="nil"/>
          <w:right w:val="nil"/>
          <w:between w:val="nil"/>
        </w:pBdr>
        <w:jc w:val="both"/>
        <w:rPr>
          <w:color w:val="000000"/>
        </w:rPr>
      </w:pPr>
      <w:r>
        <w:rPr>
          <w:color w:val="000000"/>
          <w:sz w:val="22"/>
          <w:szCs w:val="22"/>
        </w:rPr>
        <w:t>Dato Relevante: Se han detectado casos de consumo ilegal masivo, como el de hoteles en Teusaquillo, que en febrero de 2025 consumieron $139 mil m3 de forma ilícita, lo que equivalía al 10% del consumo total de Bogotá en ese momento.</w:t>
      </w:r>
    </w:p>
    <w:tbl>
      <w:tblPr>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22"/>
        <w:gridCol w:w="2299"/>
        <w:gridCol w:w="2164"/>
        <w:gridCol w:w="1543"/>
      </w:tblGrid>
      <w:tr w:rsidR="0043135B" w:rsidTr="00863609">
        <w:trPr>
          <w:trHeight w:val="300"/>
        </w:trPr>
        <w:tc>
          <w:tcPr>
            <w:tcW w:w="2822" w:type="dxa"/>
          </w:tcPr>
          <w:p w:rsidR="0043135B" w:rsidRDefault="0043135B" w:rsidP="00863609">
            <w:pPr>
              <w:rPr>
                <w:b/>
                <w:bCs/>
              </w:rPr>
            </w:pPr>
            <w:r>
              <w:rPr>
                <w:b/>
                <w:bCs/>
              </w:rPr>
              <w:t>Meta PDD Galán</w:t>
            </w:r>
          </w:p>
        </w:tc>
        <w:tc>
          <w:tcPr>
            <w:tcW w:w="2299" w:type="dxa"/>
          </w:tcPr>
          <w:p w:rsidR="0043135B" w:rsidRDefault="0043135B" w:rsidP="00863609">
            <w:pPr>
              <w:rPr>
                <w:b/>
                <w:bCs/>
              </w:rPr>
            </w:pPr>
            <w:r>
              <w:rPr>
                <w:b/>
                <w:bCs/>
              </w:rPr>
              <w:t>Indicador PDD Galán</w:t>
            </w:r>
          </w:p>
        </w:tc>
        <w:tc>
          <w:tcPr>
            <w:tcW w:w="2164" w:type="dxa"/>
          </w:tcPr>
          <w:p w:rsidR="0043135B" w:rsidRDefault="0043135B" w:rsidP="00863609">
            <w:pPr>
              <w:rPr>
                <w:b/>
                <w:bCs/>
              </w:rPr>
            </w:pPr>
            <w:r>
              <w:rPr>
                <w:b/>
                <w:bCs/>
              </w:rPr>
              <w:t>AVANCE METAS VIGENCIA 2025</w:t>
            </w:r>
          </w:p>
        </w:tc>
        <w:tc>
          <w:tcPr>
            <w:tcW w:w="1543" w:type="dxa"/>
          </w:tcPr>
          <w:p w:rsidR="0043135B" w:rsidRDefault="0043135B" w:rsidP="00863609">
            <w:pPr>
              <w:rPr>
                <w:b/>
                <w:bCs/>
              </w:rPr>
            </w:pPr>
            <w:r>
              <w:rPr>
                <w:b/>
                <w:bCs/>
              </w:rPr>
              <w:t>AVANCE METAS PLAN</w:t>
            </w:r>
          </w:p>
        </w:tc>
      </w:tr>
      <w:tr w:rsidR="0043135B" w:rsidTr="00863609">
        <w:trPr>
          <w:trHeight w:val="1200"/>
        </w:trPr>
        <w:tc>
          <w:tcPr>
            <w:tcW w:w="2822" w:type="dxa"/>
          </w:tcPr>
          <w:p w:rsidR="0043135B" w:rsidRDefault="0043135B" w:rsidP="00863609">
            <w:r>
              <w:t>Construir 1 Plan(es) de acción que permita asegurar la expansión del sistema de abastecimiento de agua potable del Distrito Capital y la consolidación del área metropolitana Bogotá - Región para un periodo de crecimiento mínimo de 25 años</w:t>
            </w:r>
          </w:p>
        </w:tc>
        <w:tc>
          <w:tcPr>
            <w:tcW w:w="2299" w:type="dxa"/>
          </w:tcPr>
          <w:p w:rsidR="0043135B" w:rsidRDefault="0043135B" w:rsidP="00863609">
            <w:r>
              <w:t>Plan de Acción para gestionar el riesgo de desabastecimiento en la ciudad elaborado</w:t>
            </w:r>
          </w:p>
        </w:tc>
        <w:tc>
          <w:tcPr>
            <w:tcW w:w="2164" w:type="dxa"/>
          </w:tcPr>
          <w:p w:rsidR="0043135B" w:rsidRDefault="0043135B" w:rsidP="00863609">
            <w:r>
              <w:t>0%</w:t>
            </w:r>
          </w:p>
        </w:tc>
        <w:tc>
          <w:tcPr>
            <w:tcW w:w="1543" w:type="dxa"/>
          </w:tcPr>
          <w:p w:rsidR="0043135B" w:rsidRDefault="0043135B" w:rsidP="00863609">
            <w:r>
              <w:t>0%</w:t>
            </w:r>
          </w:p>
        </w:tc>
      </w:tr>
    </w:tbl>
    <w:p w:rsidR="0043135B" w:rsidRDefault="0043135B" w:rsidP="0043135B"/>
    <w:p w:rsidR="0043135B" w:rsidRDefault="0043135B" w:rsidP="0043135B">
      <w:pPr>
        <w:rPr>
          <w:b/>
          <w:bCs/>
          <w:i/>
          <w:iCs/>
        </w:rPr>
      </w:pPr>
      <w:r>
        <w:rPr>
          <w:b/>
          <w:bCs/>
          <w:i/>
          <w:iCs/>
        </w:rPr>
        <w:t>Aumento de la Violencia Intrafamiliar</w:t>
      </w:r>
    </w:p>
    <w:p w:rsidR="0043135B" w:rsidRDefault="0043135B" w:rsidP="0043135B">
      <w:r>
        <w:t>Las denuncias y los casos reportados en lo que va del año 2025 muestran un panorama de aumento en la violencia dentro del hogar:</w:t>
      </w:r>
    </w:p>
    <w:p w:rsidR="0043135B" w:rsidRDefault="0043135B" w:rsidP="0043135B"/>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250"/>
        <w:gridCol w:w="3270"/>
        <w:gridCol w:w="3315"/>
      </w:tblGrid>
      <w:tr w:rsidR="0043135B" w:rsidTr="00863609">
        <w:trPr>
          <w:trHeight w:val="810"/>
        </w:trPr>
        <w:tc>
          <w:tcPr>
            <w:tcW w:w="2250" w:type="dxa"/>
            <w:tcBorders>
              <w:top w:val="single" w:sz="4" w:space="0" w:color="1F1F1F"/>
              <w:left w:val="single" w:sz="4" w:space="0" w:color="1F1F1F"/>
              <w:bottom w:val="single" w:sz="4" w:space="0" w:color="1F1F1F"/>
              <w:right w:val="single" w:sz="4" w:space="0" w:color="1F1F1F"/>
            </w:tcBorders>
            <w:shd w:val="clear" w:color="auto" w:fill="EFEFEF"/>
            <w:tcMar>
              <w:top w:w="120" w:type="dxa"/>
              <w:left w:w="180" w:type="dxa"/>
              <w:bottom w:w="120" w:type="dxa"/>
              <w:right w:w="180" w:type="dxa"/>
            </w:tcMar>
          </w:tcPr>
          <w:p w:rsidR="0043135B" w:rsidRDefault="0043135B" w:rsidP="00863609">
            <w:pPr>
              <w:spacing w:after="480" w:line="276" w:lineRule="auto"/>
              <w:rPr>
                <w:b/>
                <w:bCs/>
                <w:color w:val="1F1F1F"/>
              </w:rPr>
            </w:pPr>
            <w:r>
              <w:rPr>
                <w:b/>
                <w:bCs/>
                <w:color w:val="1F1F1F"/>
              </w:rPr>
              <w:t>Indicador</w:t>
            </w:r>
          </w:p>
        </w:tc>
        <w:tc>
          <w:tcPr>
            <w:tcW w:w="3270" w:type="dxa"/>
            <w:tcBorders>
              <w:top w:val="single" w:sz="4" w:space="0" w:color="1F1F1F"/>
              <w:left w:val="single" w:sz="4" w:space="0" w:color="1F1F1F"/>
              <w:bottom w:val="single" w:sz="4" w:space="0" w:color="1F1F1F"/>
              <w:right w:val="single" w:sz="4" w:space="0" w:color="1F1F1F"/>
            </w:tcBorders>
            <w:shd w:val="clear" w:color="auto" w:fill="EFEFEF"/>
            <w:tcMar>
              <w:top w:w="120" w:type="dxa"/>
              <w:left w:w="180" w:type="dxa"/>
              <w:bottom w:w="120" w:type="dxa"/>
              <w:right w:w="180" w:type="dxa"/>
            </w:tcMar>
          </w:tcPr>
          <w:p w:rsidR="0043135B" w:rsidRDefault="0043135B" w:rsidP="00863609">
            <w:pPr>
              <w:spacing w:after="480" w:line="276" w:lineRule="auto"/>
              <w:rPr>
                <w:b/>
                <w:bCs/>
                <w:color w:val="1F1F1F"/>
              </w:rPr>
            </w:pPr>
            <w:r>
              <w:rPr>
                <w:b/>
                <w:bCs/>
                <w:color w:val="1F1F1F"/>
              </w:rPr>
              <w:t>Cifra Clave (Bogotá, 2025)</w:t>
            </w:r>
          </w:p>
        </w:tc>
        <w:tc>
          <w:tcPr>
            <w:tcW w:w="3315" w:type="dxa"/>
            <w:tcBorders>
              <w:top w:val="single" w:sz="4" w:space="0" w:color="1F1F1F"/>
              <w:left w:val="single" w:sz="4" w:space="0" w:color="1F1F1F"/>
              <w:bottom w:val="single" w:sz="4" w:space="0" w:color="1F1F1F"/>
              <w:right w:val="single" w:sz="4" w:space="0" w:color="1F1F1F"/>
            </w:tcBorders>
            <w:shd w:val="clear" w:color="auto" w:fill="EFEFEF"/>
            <w:tcMar>
              <w:top w:w="120" w:type="dxa"/>
              <w:left w:w="180" w:type="dxa"/>
              <w:bottom w:w="120" w:type="dxa"/>
              <w:right w:w="180" w:type="dxa"/>
            </w:tcMar>
          </w:tcPr>
          <w:p w:rsidR="0043135B" w:rsidRDefault="0043135B" w:rsidP="00863609">
            <w:pPr>
              <w:spacing w:after="480" w:line="276" w:lineRule="auto"/>
              <w:rPr>
                <w:b/>
                <w:bCs/>
                <w:color w:val="1F1F1F"/>
              </w:rPr>
            </w:pPr>
            <w:r>
              <w:rPr>
                <w:b/>
                <w:bCs/>
                <w:color w:val="1F1F1F"/>
              </w:rPr>
              <w:t>Consideración de la Cifra</w:t>
            </w:r>
          </w:p>
        </w:tc>
      </w:tr>
      <w:tr w:rsidR="0043135B" w:rsidTr="00863609">
        <w:trPr>
          <w:trHeight w:val="1095"/>
        </w:trPr>
        <w:tc>
          <w:tcPr>
            <w:tcW w:w="225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Casos de Violencia Intrafamiliar</w:t>
            </w:r>
          </w:p>
        </w:tc>
        <w:tc>
          <w:tcPr>
            <w:tcW w:w="327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Más de 17.000 casos reportados contra mujeres.</w:t>
            </w:r>
          </w:p>
        </w:tc>
        <w:tc>
          <w:tcPr>
            <w:tcW w:w="3315"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Cifra acumulada entre enero y junio de 2025.</w:t>
            </w:r>
          </w:p>
        </w:tc>
      </w:tr>
      <w:tr w:rsidR="0043135B" w:rsidTr="00863609">
        <w:trPr>
          <w:trHeight w:val="1365"/>
        </w:trPr>
        <w:tc>
          <w:tcPr>
            <w:tcW w:w="225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Aumento de Casos</w:t>
            </w:r>
          </w:p>
        </w:tc>
        <w:tc>
          <w:tcPr>
            <w:tcW w:w="327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Aumento promedio del 17%</w:t>
            </w:r>
          </w:p>
        </w:tc>
        <w:tc>
          <w:tcPr>
            <w:tcW w:w="3315"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Comparación con el año anterior, lo que evidencia una escalada en la problemática.</w:t>
            </w:r>
          </w:p>
        </w:tc>
      </w:tr>
      <w:tr w:rsidR="0043135B" w:rsidTr="00863609">
        <w:trPr>
          <w:trHeight w:val="1095"/>
        </w:trPr>
        <w:tc>
          <w:tcPr>
            <w:tcW w:w="225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Víctimas de Violencia Intrafamiliar</w:t>
            </w:r>
          </w:p>
        </w:tc>
        <w:tc>
          <w:tcPr>
            <w:tcW w:w="327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70% (7 de cada 10) de las víctimas son mujeres.</w:t>
            </w:r>
          </w:p>
        </w:tc>
        <w:tc>
          <w:tcPr>
            <w:tcW w:w="3315"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El hogar sigue siendo un espacio de alto riesgo para ellas.</w:t>
            </w:r>
          </w:p>
        </w:tc>
      </w:tr>
      <w:tr w:rsidR="0043135B" w:rsidTr="00863609">
        <w:trPr>
          <w:trHeight w:val="1095"/>
        </w:trPr>
        <w:tc>
          <w:tcPr>
            <w:tcW w:w="225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Casos Diarios Promedio</w:t>
            </w:r>
          </w:p>
        </w:tc>
        <w:tc>
          <w:tcPr>
            <w:tcW w:w="3270"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Aproximadamente 140 casos diarios de violencia intrafamiliar.</w:t>
            </w:r>
          </w:p>
        </w:tc>
        <w:tc>
          <w:tcPr>
            <w:tcW w:w="3315" w:type="dxa"/>
            <w:tcBorders>
              <w:top w:val="single" w:sz="4" w:space="0" w:color="1F1F1F"/>
              <w:left w:val="single" w:sz="4" w:space="0" w:color="1F1F1F"/>
              <w:bottom w:val="single" w:sz="4" w:space="0" w:color="1F1F1F"/>
              <w:right w:val="single" w:sz="4" w:space="0" w:color="1F1F1F"/>
            </w:tcBorders>
            <w:tcMar>
              <w:top w:w="120" w:type="dxa"/>
              <w:left w:w="180" w:type="dxa"/>
              <w:bottom w:w="120" w:type="dxa"/>
              <w:right w:w="180" w:type="dxa"/>
            </w:tcMar>
          </w:tcPr>
          <w:p w:rsidR="0043135B" w:rsidRDefault="0043135B" w:rsidP="00863609">
            <w:pPr>
              <w:spacing w:after="480" w:line="276" w:lineRule="auto"/>
              <w:rPr>
                <w:color w:val="1F1F1F"/>
              </w:rPr>
            </w:pPr>
            <w:r>
              <w:rPr>
                <w:color w:val="1F1F1F"/>
              </w:rPr>
              <w:t>Cifra que subraya la frecuencia de las agresiones.</w:t>
            </w:r>
          </w:p>
        </w:tc>
      </w:tr>
    </w:tbl>
    <w:p w:rsidR="0043135B" w:rsidRDefault="0043135B" w:rsidP="0043135B">
      <w:r>
        <w:t xml:space="preserve"> </w:t>
      </w:r>
    </w:p>
    <w:p w:rsidR="0043135B" w:rsidRDefault="0043135B" w:rsidP="0043135B"/>
    <w:p w:rsidR="0043135B" w:rsidRDefault="0043135B" w:rsidP="0043135B">
      <w:pPr>
        <w:rPr>
          <w:b/>
          <w:bCs/>
          <w:i/>
          <w:iCs/>
        </w:rPr>
      </w:pPr>
      <w:r>
        <w:rPr>
          <w:b/>
          <w:bCs/>
          <w:i/>
          <w:iCs/>
        </w:rPr>
        <w:t>Persistencia de conflictividades en zonas de riesgo</w:t>
      </w:r>
    </w:p>
    <w:p w:rsidR="0043135B" w:rsidRDefault="0043135B" w:rsidP="0043135B">
      <w:pPr>
        <w:jc w:val="both"/>
      </w:pPr>
      <w:r>
        <w:t>En primer lugar, es importante señalar la población remanente en situación de Alto Riesgo por remoción en masa e inundaciones de Bogotá, a pesar de los esfuerzos históricos, Bogotá aún mantiene a miles de familias en zonas calificadas como Riesgo No Mitigable (RNM), principalmente por remoción en masa (deslizamientos). Las cifras históricas sugieren que todavía hay un remanente de entre 1.500 y 3.000 familias que necesitan ser reasentadas o compensadas.</w:t>
      </w:r>
    </w:p>
    <w:p w:rsidR="0043135B" w:rsidRDefault="0043135B" w:rsidP="0043135B">
      <w:pPr>
        <w:jc w:val="both"/>
      </w:pPr>
      <w:r>
        <w:t>Baja tasa de reasentamiento, como se observará en la siguiente tabla, la ejecución de los programas de reasentamiento por parte de la Caja de la Vivienda Popular (CVP) es consistentemente lenta. El promedio de reasentamientos efectivos anuales no logra igualar la tasa de crecimiento de la ocupación en zonas de riesgo, lo que se traduce en un rezago estructural en la reducción de la vulnerabilidad.</w:t>
      </w:r>
    </w:p>
    <w:p w:rsidR="0043135B" w:rsidRDefault="0043135B" w:rsidP="0043135B">
      <w:pPr>
        <w:jc w:val="both"/>
      </w:pPr>
      <w:r>
        <w:t>Por lo tanto, la ocupación informal persiste en la formación de nuevos asentamientos informales en el borde rural y en zonas de ronda de río (principalmente Usme y Ciudad Bolívar), alimentando continuamente la población expuesta a RNM.</w:t>
      </w:r>
    </w:p>
    <w:p w:rsidR="0043135B" w:rsidRDefault="0043135B" w:rsidP="0043135B"/>
    <w:tbl>
      <w:tblPr>
        <w:tblW w:w="8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73"/>
        <w:gridCol w:w="2835"/>
        <w:gridCol w:w="1580"/>
        <w:gridCol w:w="1540"/>
      </w:tblGrid>
      <w:tr w:rsidR="0043135B" w:rsidTr="00863609">
        <w:trPr>
          <w:trHeight w:val="660"/>
        </w:trPr>
        <w:tc>
          <w:tcPr>
            <w:tcW w:w="2873" w:type="dxa"/>
          </w:tcPr>
          <w:p w:rsidR="0043135B" w:rsidRDefault="0043135B" w:rsidP="00863609">
            <w:pPr>
              <w:rPr>
                <w:b/>
                <w:bCs/>
              </w:rPr>
            </w:pPr>
            <w:r>
              <w:rPr>
                <w:b/>
                <w:bCs/>
              </w:rPr>
              <w:t xml:space="preserve">Metas Plan de Desarrollo Galán </w:t>
            </w:r>
          </w:p>
        </w:tc>
        <w:tc>
          <w:tcPr>
            <w:tcW w:w="2835" w:type="dxa"/>
          </w:tcPr>
          <w:p w:rsidR="0043135B" w:rsidRDefault="0043135B" w:rsidP="00863609">
            <w:pPr>
              <w:rPr>
                <w:b/>
                <w:bCs/>
              </w:rPr>
            </w:pPr>
            <w:r>
              <w:rPr>
                <w:b/>
                <w:bCs/>
              </w:rPr>
              <w:t xml:space="preserve">INDICADOR  Plan de Desarrollo Galán </w:t>
            </w:r>
          </w:p>
        </w:tc>
        <w:tc>
          <w:tcPr>
            <w:tcW w:w="1580" w:type="dxa"/>
          </w:tcPr>
          <w:p w:rsidR="0043135B" w:rsidRDefault="0043135B" w:rsidP="00863609">
            <w:pPr>
              <w:rPr>
                <w:b/>
                <w:bCs/>
              </w:rPr>
            </w:pPr>
            <w:r>
              <w:rPr>
                <w:b/>
                <w:bCs/>
              </w:rPr>
              <w:t>AVANCE METAS VIGENCIA 2025</w:t>
            </w:r>
          </w:p>
        </w:tc>
        <w:tc>
          <w:tcPr>
            <w:tcW w:w="1540" w:type="dxa"/>
          </w:tcPr>
          <w:p w:rsidR="0043135B" w:rsidRDefault="0043135B" w:rsidP="00863609">
            <w:pPr>
              <w:rPr>
                <w:b/>
                <w:bCs/>
              </w:rPr>
            </w:pPr>
            <w:r>
              <w:rPr>
                <w:b/>
                <w:bCs/>
              </w:rPr>
              <w:t>AVANCE METAS PLAN</w:t>
            </w:r>
          </w:p>
        </w:tc>
      </w:tr>
      <w:tr w:rsidR="0043135B" w:rsidTr="00863609">
        <w:trPr>
          <w:trHeight w:val="1200"/>
        </w:trPr>
        <w:tc>
          <w:tcPr>
            <w:tcW w:w="2873" w:type="dxa"/>
          </w:tcPr>
          <w:p w:rsidR="0043135B" w:rsidRDefault="0043135B" w:rsidP="00863609">
            <w:r>
              <w:t>Reasentar 2000 Hogar(es) ubicados en zonas de alto riesgo no mitigable y/o las ordenadas mediante actos administrativos o sentencias judiciales</w:t>
            </w:r>
          </w:p>
        </w:tc>
        <w:tc>
          <w:tcPr>
            <w:tcW w:w="2835" w:type="dxa"/>
          </w:tcPr>
          <w:p w:rsidR="0043135B" w:rsidRDefault="0043135B" w:rsidP="00863609">
            <w:r>
              <w:t>Número de hogares ubicados en zonas de alto riesgo no mitigable y/o las ordenadas mediante actos administrativos o sentencias judiciales reasentados</w:t>
            </w:r>
          </w:p>
        </w:tc>
        <w:tc>
          <w:tcPr>
            <w:tcW w:w="1580" w:type="dxa"/>
          </w:tcPr>
          <w:p w:rsidR="0043135B" w:rsidRDefault="0043135B" w:rsidP="00863609">
            <w:r>
              <w:t>13%</w:t>
            </w:r>
          </w:p>
        </w:tc>
        <w:tc>
          <w:tcPr>
            <w:tcW w:w="1540" w:type="dxa"/>
          </w:tcPr>
          <w:p w:rsidR="0043135B" w:rsidRDefault="0043135B" w:rsidP="00863609">
            <w:r>
              <w:t>11%</w:t>
            </w:r>
          </w:p>
        </w:tc>
      </w:tr>
      <w:tr w:rsidR="0043135B" w:rsidTr="00863609">
        <w:trPr>
          <w:trHeight w:val="900"/>
        </w:trPr>
        <w:tc>
          <w:tcPr>
            <w:tcW w:w="2873" w:type="dxa"/>
          </w:tcPr>
          <w:p w:rsidR="0043135B" w:rsidRDefault="0043135B" w:rsidP="00863609">
            <w:r>
              <w:t>Intervenir 8 Unidad(es) de Planeamiento Local (UPL) con acciones de reducción del riesgo y adaptación al cambio climático</w:t>
            </w:r>
          </w:p>
        </w:tc>
        <w:tc>
          <w:tcPr>
            <w:tcW w:w="2835" w:type="dxa"/>
          </w:tcPr>
          <w:p w:rsidR="0043135B" w:rsidRDefault="0043135B" w:rsidP="00863609">
            <w:r>
              <w:t>Número de UPL con acciones con acciones de reducción del riesgo y adaptación al cambio climático</w:t>
            </w:r>
          </w:p>
        </w:tc>
        <w:tc>
          <w:tcPr>
            <w:tcW w:w="1580" w:type="dxa"/>
          </w:tcPr>
          <w:p w:rsidR="0043135B" w:rsidRDefault="0043135B" w:rsidP="00863609">
            <w:r>
              <w:t>0%</w:t>
            </w:r>
          </w:p>
        </w:tc>
        <w:tc>
          <w:tcPr>
            <w:tcW w:w="1540" w:type="dxa"/>
          </w:tcPr>
          <w:p w:rsidR="0043135B" w:rsidRDefault="0043135B" w:rsidP="00863609">
            <w:r>
              <w:t>13%</w:t>
            </w:r>
          </w:p>
        </w:tc>
      </w:tr>
      <w:tr w:rsidR="0043135B" w:rsidTr="00863609">
        <w:trPr>
          <w:trHeight w:val="900"/>
        </w:trPr>
        <w:tc>
          <w:tcPr>
            <w:tcW w:w="2873" w:type="dxa"/>
          </w:tcPr>
          <w:p w:rsidR="0043135B" w:rsidRDefault="0043135B" w:rsidP="00863609">
            <w:r>
              <w:t>Reasentar 100 Familia(s) ubicadas en zonas de alto riesgo no mitigable a través de adquisición predial</w:t>
            </w:r>
          </w:p>
        </w:tc>
        <w:tc>
          <w:tcPr>
            <w:tcW w:w="2835" w:type="dxa"/>
          </w:tcPr>
          <w:p w:rsidR="0043135B" w:rsidRDefault="0043135B" w:rsidP="00863609">
            <w:r>
              <w:t>Número de familias en zonas de alto riesgo no mitigable reasentadas a través de adquisición predial</w:t>
            </w:r>
          </w:p>
        </w:tc>
        <w:tc>
          <w:tcPr>
            <w:tcW w:w="1580" w:type="dxa"/>
          </w:tcPr>
          <w:p w:rsidR="0043135B" w:rsidRDefault="0043135B" w:rsidP="00863609">
            <w:r>
              <w:t>100%</w:t>
            </w:r>
          </w:p>
        </w:tc>
        <w:tc>
          <w:tcPr>
            <w:tcW w:w="1540" w:type="dxa"/>
          </w:tcPr>
          <w:p w:rsidR="0043135B" w:rsidRDefault="0043135B" w:rsidP="00863609">
            <w:r>
              <w:t>40%</w:t>
            </w:r>
          </w:p>
        </w:tc>
      </w:tr>
      <w:tr w:rsidR="0043135B" w:rsidTr="00863609">
        <w:trPr>
          <w:trHeight w:val="1215"/>
        </w:trPr>
        <w:tc>
          <w:tcPr>
            <w:tcW w:w="2873" w:type="dxa"/>
          </w:tcPr>
          <w:p w:rsidR="0043135B" w:rsidRDefault="0043135B" w:rsidP="00863609">
            <w:r>
              <w:t>Realizar el análisis detallado de amenaza o riesgo en 3200 Hectárea(s) de acuerdo con los 8 escenarios de riesgo caracterizados en el 2016 para Bogotá</w:t>
            </w:r>
          </w:p>
        </w:tc>
        <w:tc>
          <w:tcPr>
            <w:tcW w:w="2835" w:type="dxa"/>
          </w:tcPr>
          <w:p w:rsidR="0043135B" w:rsidRDefault="0043135B" w:rsidP="00863609">
            <w:r>
              <w:t>Número de hectáreas con análisis de riesgo</w:t>
            </w:r>
          </w:p>
        </w:tc>
        <w:tc>
          <w:tcPr>
            <w:tcW w:w="1580" w:type="dxa"/>
          </w:tcPr>
          <w:p w:rsidR="0043135B" w:rsidRDefault="0043135B" w:rsidP="00863609">
            <w:r>
              <w:t>92%</w:t>
            </w:r>
          </w:p>
        </w:tc>
        <w:tc>
          <w:tcPr>
            <w:tcW w:w="1540" w:type="dxa"/>
          </w:tcPr>
          <w:p w:rsidR="0043135B" w:rsidRDefault="0043135B" w:rsidP="00863609">
            <w:r>
              <w:t>67%</w:t>
            </w:r>
          </w:p>
        </w:tc>
      </w:tr>
    </w:tbl>
    <w:p w:rsidR="0043135B" w:rsidRDefault="0043135B" w:rsidP="0043135B"/>
    <w:p w:rsidR="0043135B" w:rsidRDefault="0043135B" w:rsidP="0043135B">
      <w:pPr>
        <w:jc w:val="both"/>
      </w:pPr>
      <w:r>
        <w:t>Es necesario garantizar la viabilidad física y financiera de las metas que implican la vinculación de 2.302.200 personas en acciones de educación ambiental y 52.200 personas en procesos de divulgación, formación y capacitación en gestión del riesgo y adaptación al cambio climático, las cuales deben ejecutarse conforme a lo establecido por el Sistema Distrital de Gestión de Riesgos y Cambio Climático – SDGR-CC, definido en el Decreto Distrital 172 de 2014, y a las responsabilidades de educación, comunicación y participación ciudadana previstas en el Plan Distrital de Desarrollo vigente. Estas metas requieren recursos proporcionales para el despliegue territorial, el diseño de metodologías pedagógicas, la articulación interinstitucional y el fortalecimiento de capacidades comunitarias, en coherencia con el enfoque preventivo y de gestión integral del riesgo que la norma establece. En consecuencia, la asignación adicional no constituye una valoración de desempeño institucional, sino un ajuste técnico necesario para asegurar que las obligaciones programáticas definidas en la norma y el PDD cuenten con los recursos suficientes para su cumplimiento efectivo.</w:t>
      </w:r>
    </w:p>
    <w:p w:rsidR="0043135B" w:rsidRDefault="0043135B" w:rsidP="0043135B">
      <w:pPr>
        <w:jc w:val="both"/>
        <w:rPr>
          <w:color w:val="1B1C1D"/>
        </w:rPr>
      </w:pPr>
      <w:r>
        <w:t>La reducción importante de los recursos del IDIGER implican una decisión de incumplimiento sobre el avance de las metas del Plan de Desarrollo de Galán, con un 11% de avance de las 2000 familias reasentadas y un 13% de avance  UPL con fenómenos de riesgo.</w:t>
      </w:r>
    </w:p>
    <w:p w:rsidR="0043135B" w:rsidRDefault="0043135B" w:rsidP="0043135B">
      <w:pPr>
        <w:jc w:val="both"/>
      </w:pPr>
    </w:p>
    <w:p w:rsidR="0043135B" w:rsidRDefault="0043135B" w:rsidP="0043135B">
      <w:pPr>
        <w:rPr>
          <w:b/>
          <w:bCs/>
          <w:i/>
          <w:iCs/>
        </w:rPr>
      </w:pPr>
      <w:r>
        <w:rPr>
          <w:b/>
          <w:bCs/>
          <w:i/>
          <w:iCs/>
        </w:rPr>
        <w:t xml:space="preserve">Falta de atención de los fenómenos estructurales de seguridad </w:t>
      </w:r>
    </w:p>
    <w:p w:rsidR="0043135B" w:rsidRDefault="0043135B" w:rsidP="0043135B">
      <w:pPr>
        <w:jc w:val="both"/>
      </w:pPr>
      <w:r>
        <w:t>El estado de la seguridad en Bogotá a finales de 2025 se define por una paradoja crítica: aunque se reportan reducciones en algunas modalidades de hurto, la violencia letal (homicidio) y la extorsión han recrudecido, manteniendo la percepción de inseguridad en niveles históricamente altos.</w:t>
      </w:r>
    </w:p>
    <w:p w:rsidR="0043135B" w:rsidRDefault="0043135B" w:rsidP="0043135B">
      <w:r>
        <w:t xml:space="preserve">En una revisión de los indicadores estructurales de la seguridad ee Bogotá, podemos observar que: </w:t>
      </w:r>
    </w:p>
    <w:p w:rsidR="0043135B" w:rsidRDefault="0043135B" w:rsidP="0043135B"/>
    <w:p w:rsidR="0043135B" w:rsidRDefault="0043135B" w:rsidP="0043135B">
      <w:pPr>
        <w:jc w:val="center"/>
      </w:pPr>
      <w:r>
        <w:rPr>
          <w:b/>
          <w:bCs/>
        </w:rPr>
        <w:t xml:space="preserve">Tabla 5. </w:t>
      </w:r>
      <w:r>
        <w:t>Estadísticas de Seguridad Bogotá comparativa 2024 - 2025</w:t>
      </w:r>
    </w:p>
    <w:tbl>
      <w:tblPr>
        <w:tblW w:w="8822" w:type="dxa"/>
        <w:tblLayout w:type="fixed"/>
        <w:tblLook w:val="0400" w:firstRow="0" w:lastRow="0" w:firstColumn="0" w:lastColumn="0" w:noHBand="0" w:noVBand="1"/>
      </w:tblPr>
      <w:tblGrid>
        <w:gridCol w:w="2319"/>
        <w:gridCol w:w="2847"/>
        <w:gridCol w:w="3656"/>
      </w:tblGrid>
      <w:tr w:rsidR="0043135B" w:rsidTr="00863609">
        <w:trPr>
          <w:tblHeader/>
        </w:trPr>
        <w:tc>
          <w:tcPr>
            <w:tcW w:w="2319"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rPr>
                <w:b/>
                <w:bCs/>
              </w:rPr>
              <w:t>Delito (Comparación Interanual)</w:t>
            </w:r>
          </w:p>
        </w:tc>
        <w:tc>
          <w:tcPr>
            <w:tcW w:w="2847"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rPr>
                <w:b/>
                <w:bCs/>
              </w:rPr>
              <w:t>Variación 2025 vs. 2024 (Acumulado)</w:t>
            </w:r>
          </w:p>
        </w:tc>
        <w:tc>
          <w:tcPr>
            <w:tcW w:w="365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rPr>
                <w:b/>
                <w:bCs/>
              </w:rPr>
              <w:t>Observaciones Clave</w:t>
            </w:r>
          </w:p>
        </w:tc>
      </w:tr>
      <w:tr w:rsidR="0043135B" w:rsidTr="00863609">
        <w:tc>
          <w:tcPr>
            <w:tcW w:w="2319"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Homicidio</w:t>
            </w:r>
          </w:p>
        </w:tc>
        <w:tc>
          <w:tcPr>
            <w:tcW w:w="2847"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Incremento (Con aumentos puntuales del 5.6% a Abril y cerca del 10% en homicidios con armas de fuego).</w:t>
            </w:r>
          </w:p>
        </w:tc>
        <w:tc>
          <w:tcPr>
            <w:tcW w:w="365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Mayor preocupación. La violencia se ha recrudecido, con aumento en el uso de armas de fuego y homicidios instrumentales (disputas criminales).</w:t>
            </w:r>
          </w:p>
        </w:tc>
      </w:tr>
      <w:tr w:rsidR="0043135B" w:rsidTr="00863609">
        <w:tc>
          <w:tcPr>
            <w:tcW w:w="2319"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Hurto a Personas</w:t>
            </w:r>
          </w:p>
        </w:tc>
        <w:tc>
          <w:tcPr>
            <w:tcW w:w="2847"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Reducción (Reportes del primer semestre indican caídas significativas, por ejemplo, hasta el 13% en el primer semestre y 3.4% a Abril).</w:t>
            </w:r>
          </w:p>
        </w:tc>
        <w:tc>
          <w:tcPr>
            <w:tcW w:w="365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Se registra una reducción en el acumulado anual gracias a la estrategia distrital. Sin embargo, en noviembre, los hurtos totales superan las 100.000 denuncias (crecimiento del $3\%$ vs. 2024 en el consolidado).</w:t>
            </w:r>
          </w:p>
        </w:tc>
      </w:tr>
      <w:tr w:rsidR="0043135B" w:rsidTr="00863609">
        <w:tc>
          <w:tcPr>
            <w:tcW w:w="2319"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Hurto a Comercio</w:t>
            </w:r>
          </w:p>
        </w:tc>
        <w:tc>
          <w:tcPr>
            <w:tcW w:w="2847"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Reducción (Reportes de hasta el 25% o 52% en el primer semestre).</w:t>
            </w:r>
          </w:p>
        </w:tc>
        <w:tc>
          <w:tcPr>
            <w:tcW w:w="365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Es uno de los delitos con mayor contención en el año.</w:t>
            </w:r>
          </w:p>
        </w:tc>
      </w:tr>
      <w:tr w:rsidR="0043135B" w:rsidTr="00863609">
        <w:tc>
          <w:tcPr>
            <w:tcW w:w="2319"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Hurto a Vehículos/Motos</w:t>
            </w:r>
          </w:p>
        </w:tc>
        <w:tc>
          <w:tcPr>
            <w:tcW w:w="2847"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Reducción (Reportes de hasta el 35.1% en automotores y 28.6% en motocicletas a Abril).</w:t>
            </w:r>
          </w:p>
        </w:tc>
        <w:tc>
          <w:tcPr>
            <w:tcW w:w="365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La intervención operativa ha impactado positivamente la recuperación de automotores.</w:t>
            </w:r>
          </w:p>
        </w:tc>
      </w:tr>
      <w:tr w:rsidR="0043135B" w:rsidTr="00863609">
        <w:tc>
          <w:tcPr>
            <w:tcW w:w="2319"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Extorsión</w:t>
            </w:r>
          </w:p>
        </w:tc>
        <w:tc>
          <w:tcPr>
            <w:tcW w:w="2847"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Aumento (Con incrementos del 11% o más).</w:t>
            </w:r>
          </w:p>
        </w:tc>
        <w:tc>
          <w:tcPr>
            <w:tcW w:w="365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Mantiene una tendencia creciente, siendo un desafío en varias localidades como Usaquén.</w:t>
            </w:r>
          </w:p>
        </w:tc>
      </w:tr>
      <w:tr w:rsidR="0043135B" w:rsidTr="00863609">
        <w:tc>
          <w:tcPr>
            <w:tcW w:w="2319"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Violencia Intrafamiliar</w:t>
            </w:r>
          </w:p>
        </w:tc>
        <w:tc>
          <w:tcPr>
            <w:tcW w:w="2847"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Aumento (Reportes de hasta el 23.6% en denuncias).</w:t>
            </w:r>
          </w:p>
        </w:tc>
        <w:tc>
          <w:tcPr>
            <w:tcW w:w="365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Fuerte incremento que afecta principalmente a mujeres y niños.</w:t>
            </w:r>
          </w:p>
        </w:tc>
      </w:tr>
      <w:tr w:rsidR="0043135B" w:rsidTr="00863609">
        <w:tc>
          <w:tcPr>
            <w:tcW w:w="2319"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Delitos Sexuales</w:t>
            </w:r>
          </w:p>
        </w:tc>
        <w:tc>
          <w:tcPr>
            <w:tcW w:w="2847"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Aumento (Con reportes del 10% o más en algunas mediciones).</w:t>
            </w:r>
          </w:p>
        </w:tc>
        <w:tc>
          <w:tcPr>
            <w:tcW w:w="365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r>
              <w:t>Las denuncias aumentaron, reflejando el problema del acoso sexual en el espacio público.</w:t>
            </w:r>
          </w:p>
        </w:tc>
      </w:tr>
    </w:tbl>
    <w:p w:rsidR="0043135B" w:rsidRDefault="0043135B" w:rsidP="0043135B">
      <w:pPr>
        <w:jc w:val="center"/>
        <w:rPr>
          <w:sz w:val="18"/>
          <w:szCs w:val="18"/>
        </w:rPr>
      </w:pPr>
      <w:r>
        <w:rPr>
          <w:b/>
          <w:bCs/>
          <w:sz w:val="18"/>
          <w:szCs w:val="18"/>
        </w:rPr>
        <w:t>Fuente:</w:t>
      </w:r>
      <w:r>
        <w:rPr>
          <w:sz w:val="18"/>
          <w:szCs w:val="18"/>
        </w:rPr>
        <w:t xml:space="preserve"> Información de seguridad, estadísticas en respuesta a proposición Concejo de Bogotá 2025.  </w:t>
      </w:r>
    </w:p>
    <w:p w:rsidR="0043135B" w:rsidRDefault="0043135B" w:rsidP="0043135B">
      <w:pPr>
        <w:jc w:val="center"/>
      </w:pPr>
      <w:r>
        <w:rPr>
          <w:sz w:val="18"/>
          <w:szCs w:val="18"/>
        </w:rPr>
        <w:t xml:space="preserve"> </w:t>
      </w:r>
    </w:p>
    <w:p w:rsidR="0043135B" w:rsidRDefault="0043135B" w:rsidP="0043135B">
      <w:r>
        <w:t>Adicionalmente, haciendo una revisión puntual de la violencia que sufren los jóvenes en Bogotá, encontramos lo siguiente:</w:t>
      </w:r>
    </w:p>
    <w:p w:rsidR="0043135B" w:rsidRDefault="0043135B" w:rsidP="0043135B">
      <w:r>
        <w:t>Población joven, tasa de homicidios se triplica.</w:t>
      </w:r>
    </w:p>
    <w:p w:rsidR="0043135B" w:rsidRDefault="0043135B" w:rsidP="0043135B"/>
    <w:p w:rsidR="0043135B" w:rsidRDefault="0043135B" w:rsidP="0043135B">
      <w:pPr>
        <w:jc w:val="center"/>
      </w:pPr>
      <w:r>
        <w:rPr>
          <w:b/>
          <w:bCs/>
        </w:rPr>
        <w:t xml:space="preserve">Tabla 6. </w:t>
      </w:r>
      <w:r>
        <w:t>Tasas de Violencia de Jóvenes en Bogotá</w:t>
      </w:r>
    </w:p>
    <w:sdt>
      <w:sdtPr>
        <w:tag w:val="goog_rdk_0"/>
        <w:id w:val="-790958317"/>
        <w:lock w:val="contentLocked"/>
      </w:sdtPr>
      <w:sdtEndPr/>
      <w:sdtContent>
        <w:tbl>
          <w:tblPr>
            <w:tblW w:w="8822" w:type="dxa"/>
            <w:tblLayout w:type="fixed"/>
            <w:tblLook w:val="0400" w:firstRow="0" w:lastRow="0" w:firstColumn="0" w:lastColumn="0" w:noHBand="0" w:noVBand="1"/>
          </w:tblPr>
          <w:tblGrid>
            <w:gridCol w:w="2576"/>
            <w:gridCol w:w="2690"/>
            <w:gridCol w:w="3556"/>
          </w:tblGrid>
          <w:tr w:rsidR="0043135B" w:rsidTr="00863609">
            <w:trPr>
              <w:tblHeader/>
            </w:trPr>
            <w:tc>
              <w:tcPr>
                <w:tcW w:w="257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pPr>
                  <w:rPr>
                    <w:color w:val="1F1F1F"/>
                  </w:rPr>
                </w:pPr>
                <w:r>
                  <w:rPr>
                    <w:b/>
                    <w:bCs/>
                    <w:color w:val="1F1F1F"/>
                  </w:rPr>
                  <w:t>Indicador</w:t>
                </w:r>
              </w:p>
            </w:tc>
            <w:tc>
              <w:tcPr>
                <w:tcW w:w="2690"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pPr>
                  <w:rPr>
                    <w:color w:val="1F1F1F"/>
                  </w:rPr>
                </w:pPr>
                <w:r>
                  <w:rPr>
                    <w:b/>
                    <w:bCs/>
                    <w:color w:val="1F1F1F"/>
                  </w:rPr>
                  <w:t>Cifra (2024)</w:t>
                </w:r>
              </w:p>
            </w:tc>
            <w:tc>
              <w:tcPr>
                <w:tcW w:w="355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pPr>
                  <w:rPr>
                    <w:color w:val="1F1F1F"/>
                  </w:rPr>
                </w:pPr>
                <w:r>
                  <w:rPr>
                    <w:b/>
                    <w:bCs/>
                    <w:color w:val="1F1F1F"/>
                  </w:rPr>
                  <w:t>Contexto</w:t>
                </w:r>
              </w:p>
            </w:tc>
          </w:tr>
          <w:tr w:rsidR="0043135B" w:rsidTr="00863609">
            <w:tc>
              <w:tcPr>
                <w:tcW w:w="257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pPr>
                  <w:rPr>
                    <w:color w:val="1F1F1F"/>
                  </w:rPr>
                </w:pPr>
                <w:r>
                  <w:rPr>
                    <w:color w:val="1F1F1F"/>
                  </w:rPr>
                  <w:t>Tasa de Homicidio en Jóvenes</w:t>
                </w:r>
              </w:p>
            </w:tc>
            <w:tc>
              <w:tcPr>
                <w:tcW w:w="2690"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pPr>
                  <w:rPr>
                    <w:color w:val="1F1F1F"/>
                  </w:rPr>
                </w:pPr>
                <w:r>
                  <w:rPr>
                    <w:color w:val="1F1F1F"/>
                  </w:rPr>
                  <w:t>30,3 por cada 100.000 habitantes</w:t>
                </w:r>
              </w:p>
            </w:tc>
            <w:tc>
              <w:tcPr>
                <w:tcW w:w="355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pPr>
                  <w:rPr>
                    <w:color w:val="1F1F1F"/>
                  </w:rPr>
                </w:pPr>
                <w:r>
                  <w:rPr>
                    <w:color w:val="1F1F1F"/>
                  </w:rPr>
                  <w:t>Más del doble de la tasa general de la ciudad.</w:t>
                </w:r>
              </w:p>
            </w:tc>
          </w:tr>
          <w:tr w:rsidR="0043135B" w:rsidTr="00863609">
            <w:tc>
              <w:tcPr>
                <w:tcW w:w="257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pPr>
                  <w:rPr>
                    <w:color w:val="1F1F1F"/>
                  </w:rPr>
                </w:pPr>
                <w:r>
                  <w:rPr>
                    <w:color w:val="1F1F1F"/>
                  </w:rPr>
                  <w:t>Tasa de Homicidio General</w:t>
                </w:r>
              </w:p>
            </w:tc>
            <w:tc>
              <w:tcPr>
                <w:tcW w:w="2690"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pPr>
                  <w:rPr>
                    <w:color w:val="1F1F1F"/>
                  </w:rPr>
                </w:pPr>
                <w:r>
                  <w:rPr>
                    <w:color w:val="1F1F1F"/>
                  </w:rPr>
                  <w:t>15,2 por cada 100.000 habitantes</w:t>
                </w:r>
              </w:p>
            </w:tc>
            <w:tc>
              <w:tcPr>
                <w:tcW w:w="3556" w:type="dxa"/>
                <w:tcBorders>
                  <w:top w:val="single" w:sz="6" w:space="0" w:color="000000"/>
                  <w:left w:val="single" w:sz="6" w:space="0" w:color="000000"/>
                  <w:bottom w:val="single" w:sz="6" w:space="0" w:color="000000"/>
                  <w:right w:val="single" w:sz="6" w:space="0" w:color="000000"/>
                </w:tcBorders>
                <w:tcMar>
                  <w:top w:w="120" w:type="dxa"/>
                  <w:left w:w="180" w:type="dxa"/>
                  <w:bottom w:w="120" w:type="dxa"/>
                  <w:right w:w="180" w:type="dxa"/>
                </w:tcMar>
                <w:vAlign w:val="center"/>
              </w:tcPr>
              <w:p w:rsidR="0043135B" w:rsidRDefault="0043135B" w:rsidP="00863609">
                <w:pPr>
                  <w:rPr>
                    <w:color w:val="1F1F1F"/>
                  </w:rPr>
                </w:pPr>
                <w:r>
                  <w:rPr>
                    <w:color w:val="1F1F1F"/>
                  </w:rPr>
                  <w:t>Es la tasa más alta registrada en Bogotá desde 2016.</w:t>
                </w:r>
              </w:p>
            </w:tc>
          </w:tr>
        </w:tbl>
      </w:sdtContent>
    </w:sdt>
    <w:p w:rsidR="0043135B" w:rsidRDefault="0043135B" w:rsidP="0043135B">
      <w:pPr>
        <w:jc w:val="center"/>
      </w:pPr>
      <w:r>
        <w:rPr>
          <w:b/>
          <w:bCs/>
          <w:sz w:val="18"/>
          <w:szCs w:val="18"/>
        </w:rPr>
        <w:t>Fuente:</w:t>
      </w:r>
      <w:r>
        <w:rPr>
          <w:sz w:val="18"/>
          <w:szCs w:val="18"/>
        </w:rPr>
        <w:t xml:space="preserve"> Información de seguridad, estadísticas en respuesta a proposición Concejo de Bogotá 2025.  .</w:t>
      </w:r>
    </w:p>
    <w:p w:rsidR="0043135B" w:rsidRDefault="0043135B" w:rsidP="0043135B">
      <w:pPr>
        <w:rPr>
          <w:b/>
          <w:bCs/>
        </w:rPr>
      </w:pPr>
    </w:p>
    <w:p w:rsidR="0043135B" w:rsidRDefault="0043135B" w:rsidP="0043135B">
      <w:pPr>
        <w:rPr>
          <w:b/>
          <w:bCs/>
          <w:i/>
          <w:iCs/>
        </w:rPr>
      </w:pPr>
      <w:r>
        <w:rPr>
          <w:b/>
          <w:bCs/>
          <w:i/>
          <w:iCs/>
        </w:rPr>
        <w:t>Desatención de la ruralidad de Bogotá</w:t>
      </w:r>
    </w:p>
    <w:p w:rsidR="0043135B" w:rsidRDefault="0043135B" w:rsidP="0043135B">
      <w:pPr>
        <w:jc w:val="both"/>
      </w:pPr>
      <w:r>
        <w:t>La población rural, que representa menos del 1% de los habitantes de Bogotá (aprox. $51.203$ personas), es altamente vulnerable. Esto se traduce en una baja prioridad política y una escasa asignación de recursos presupuestales frente a las necesidades urbanas, la tasa de pobreza es significativamente más alta que el promedio urbano 12.9% según DANE 2024, la población rural enfrenta tasas de pobreza multidimensional y monetaria superiores al promedio general de la ciudad.</w:t>
      </w:r>
    </w:p>
    <w:p w:rsidR="0043135B" w:rsidRDefault="0043135B" w:rsidP="0043135B"/>
    <w:sdt>
      <w:sdtPr>
        <w:tag w:val="goog_rdk_1"/>
        <w:id w:val="-397034797"/>
        <w:lock w:val="contentLocked"/>
      </w:sdtPr>
      <w:sdtEndPr/>
      <w:sdtContent>
        <w:tbl>
          <w:tblPr>
            <w:tblW w:w="8820" w:type="dxa"/>
            <w:tblBorders>
              <w:top w:val="nil"/>
              <w:left w:val="nil"/>
              <w:bottom w:val="nil"/>
              <w:right w:val="nil"/>
              <w:insideH w:val="nil"/>
              <w:insideV w:val="nil"/>
            </w:tblBorders>
            <w:tblLayout w:type="fixed"/>
            <w:tblLook w:val="0600" w:firstRow="0" w:lastRow="0" w:firstColumn="0" w:lastColumn="0" w:noHBand="1" w:noVBand="1"/>
          </w:tblPr>
          <w:tblGrid>
            <w:gridCol w:w="2985"/>
            <w:gridCol w:w="2445"/>
            <w:gridCol w:w="1455"/>
            <w:gridCol w:w="960"/>
            <w:gridCol w:w="975"/>
          </w:tblGrid>
          <w:tr w:rsidR="0043135B" w:rsidTr="00863609">
            <w:trPr>
              <w:trHeight w:val="540"/>
            </w:trPr>
            <w:tc>
              <w:tcPr>
                <w:tcW w:w="298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rPr>
                    <w:b/>
                    <w:bCs/>
                  </w:rPr>
                </w:pPr>
                <w:r>
                  <w:rPr>
                    <w:b/>
                    <w:bCs/>
                  </w:rPr>
                  <w:t>Meta Galán</w:t>
                </w:r>
              </w:p>
            </w:tc>
            <w:tc>
              <w:tcPr>
                <w:tcW w:w="244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rPr>
                    <w:b/>
                    <w:bCs/>
                  </w:rPr>
                </w:pPr>
                <w:r>
                  <w:rPr>
                    <w:b/>
                    <w:bCs/>
                  </w:rPr>
                  <w:t>Indicador Galán</w:t>
                </w:r>
              </w:p>
            </w:tc>
            <w:tc>
              <w:tcPr>
                <w:tcW w:w="145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rPr>
                    <w:b/>
                    <w:bCs/>
                  </w:rPr>
                </w:pPr>
                <w:r>
                  <w:rPr>
                    <w:b/>
                    <w:bCs/>
                  </w:rPr>
                  <w:t>Entidad</w:t>
                </w:r>
              </w:p>
            </w:tc>
            <w:tc>
              <w:tcPr>
                <w:tcW w:w="96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rPr>
                    <w:b/>
                    <w:bCs/>
                    <w:sz w:val="16"/>
                    <w:szCs w:val="16"/>
                  </w:rPr>
                </w:pPr>
                <w:r>
                  <w:rPr>
                    <w:b/>
                    <w:bCs/>
                    <w:sz w:val="16"/>
                    <w:szCs w:val="16"/>
                  </w:rPr>
                  <w:t>AVANCE VIGENCIA 2025</w:t>
                </w:r>
              </w:p>
            </w:tc>
            <w:tc>
              <w:tcPr>
                <w:tcW w:w="97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rPr>
                    <w:b/>
                    <w:bCs/>
                    <w:sz w:val="16"/>
                    <w:szCs w:val="16"/>
                  </w:rPr>
                </w:pPr>
                <w:r>
                  <w:rPr>
                    <w:b/>
                    <w:bCs/>
                    <w:sz w:val="16"/>
                    <w:szCs w:val="16"/>
                  </w:rPr>
                  <w:t>AVANCE PLAN Galán</w:t>
                </w:r>
              </w:p>
            </w:tc>
          </w:tr>
          <w:tr w:rsidR="0043135B" w:rsidTr="00863609">
            <w:trPr>
              <w:trHeight w:val="2310"/>
            </w:trPr>
            <w:tc>
              <w:tcPr>
                <w:tcW w:w="29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Implementar en 8 Localidad(es) con zonas rurales de Bogotá una solución para el cierre de brecha digital</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Número de localidades con zonas rurales de Bogotá con una solución para el cierre de brecha digital implementada</w:t>
                </w:r>
              </w:p>
            </w:tc>
            <w:tc>
              <w:tcPr>
                <w:tcW w:w="145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Secretaría General</w:t>
                </w:r>
              </w:p>
            </w:tc>
            <w:tc>
              <w:tcPr>
                <w:tcW w:w="960"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0%</w:t>
                </w:r>
              </w:p>
            </w:tc>
            <w:tc>
              <w:tcPr>
                <w:tcW w:w="97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0%</w:t>
                </w:r>
              </w:p>
            </w:tc>
          </w:tr>
          <w:tr w:rsidR="0043135B" w:rsidTr="00863609">
            <w:trPr>
              <w:trHeight w:val="2310"/>
            </w:trPr>
            <w:tc>
              <w:tcPr>
                <w:tcW w:w="29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Ejecutar 8000 Mejoramiento(s) de vivienda rural y urbana para familias en condiciones vulnerabilidad</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Número de mejoramientos de vivienda rural y urbana para familias en condiciones vulnerabilidad ejecutados</w:t>
                </w:r>
              </w:p>
            </w:tc>
            <w:tc>
              <w:tcPr>
                <w:tcW w:w="145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Secretaría Distrital del Hábitat</w:t>
                </w:r>
              </w:p>
            </w:tc>
            <w:tc>
              <w:tcPr>
                <w:tcW w:w="960"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5%</w:t>
                </w:r>
              </w:p>
            </w:tc>
            <w:tc>
              <w:tcPr>
                <w:tcW w:w="97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2%</w:t>
                </w:r>
              </w:p>
            </w:tc>
          </w:tr>
          <w:tr w:rsidR="0043135B" w:rsidTr="00863609">
            <w:trPr>
              <w:trHeight w:val="2010"/>
            </w:trPr>
            <w:tc>
              <w:tcPr>
                <w:tcW w:w="29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Vincular 500 Unidad(es) productivas y/o emprendimientos rurales a mecanismos de inclusión financiera, priorizando la oferta en mujeres y jóvenes</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Unidades productivas y/o emprendimientos rurales vinculados</w:t>
                </w:r>
              </w:p>
            </w:tc>
            <w:tc>
              <w:tcPr>
                <w:tcW w:w="145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Secretaría Distrital de Desarrollo Económico</w:t>
                </w:r>
              </w:p>
            </w:tc>
            <w:tc>
              <w:tcPr>
                <w:tcW w:w="960"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15%</w:t>
                </w:r>
              </w:p>
            </w:tc>
            <w:tc>
              <w:tcPr>
                <w:tcW w:w="97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6%</w:t>
                </w:r>
              </w:p>
            </w:tc>
          </w:tr>
          <w:tr w:rsidR="0043135B" w:rsidTr="00863609">
            <w:trPr>
              <w:trHeight w:val="4935"/>
            </w:trPr>
            <w:tc>
              <w:tcPr>
                <w:tcW w:w="29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Fortalecer 800 Unidad(es) Prediales Productivas en el marco de la diversidad económica de la Bogotá Rural y su campesinado incluyendo aquellas que hacen parte de la Zona de Usos Sostenible dentro de la Estructura Ecológica Principal que se acuerden entre las autoridades ambientales con las comunidades (Fallo Cerros Orientales según lo establecido en la Resolución 1766/2021 entre otras.)</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Unidades productivas intervenidas en el marco de la diversidad económica de la Bogotá Rural y su campesinado</w:t>
                </w:r>
              </w:p>
            </w:tc>
            <w:tc>
              <w:tcPr>
                <w:tcW w:w="145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Secretaría Distrital de Desarrollo Económico</w:t>
                </w:r>
              </w:p>
            </w:tc>
            <w:tc>
              <w:tcPr>
                <w:tcW w:w="960"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0%</w:t>
                </w:r>
              </w:p>
            </w:tc>
            <w:tc>
              <w:tcPr>
                <w:tcW w:w="97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9%</w:t>
                </w:r>
              </w:p>
            </w:tc>
          </w:tr>
          <w:tr w:rsidR="0043135B" w:rsidTr="00863609">
            <w:trPr>
              <w:trHeight w:val="2310"/>
            </w:trPr>
            <w:tc>
              <w:tcPr>
                <w:tcW w:w="29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Caracterizar 1000 Hogar(es) ubicados en Centros Poblados Rurales y ruralidad dispersa con relación a la prestación de servicios públicos domiciliarios</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Número de hogares caracterizados ubicados en CPR y ruralidad dispersa</w:t>
                </w:r>
              </w:p>
            </w:tc>
            <w:tc>
              <w:tcPr>
                <w:tcW w:w="145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Secretaría Distrital del Hábitat</w:t>
                </w:r>
              </w:p>
            </w:tc>
            <w:tc>
              <w:tcPr>
                <w:tcW w:w="960"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80%</w:t>
                </w:r>
              </w:p>
            </w:tc>
            <w:tc>
              <w:tcPr>
                <w:tcW w:w="97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24%</w:t>
                </w:r>
              </w:p>
            </w:tc>
          </w:tr>
          <w:tr w:rsidR="0043135B" w:rsidTr="00863609">
            <w:trPr>
              <w:trHeight w:val="2310"/>
            </w:trPr>
            <w:tc>
              <w:tcPr>
                <w:tcW w:w="29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Formar 27000 Mujer(es) en habilidades digitales a través de los Centros de Inclusión Digital - CID en zonas rurales y urbanas</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Número de mujeres formadas en habilidades digitales a través de los Centros de Inclusión Digital - CID, en zonas rurales y urbanas</w:t>
                </w:r>
              </w:p>
            </w:tc>
            <w:tc>
              <w:tcPr>
                <w:tcW w:w="145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Secretaría Distrital de la Mujer</w:t>
                </w:r>
              </w:p>
            </w:tc>
            <w:tc>
              <w:tcPr>
                <w:tcW w:w="960"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73%</w:t>
                </w:r>
              </w:p>
            </w:tc>
            <w:tc>
              <w:tcPr>
                <w:tcW w:w="97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34%</w:t>
                </w:r>
              </w:p>
            </w:tc>
          </w:tr>
          <w:tr w:rsidR="0043135B" w:rsidTr="00863609">
            <w:trPr>
              <w:trHeight w:val="2025"/>
            </w:trPr>
            <w:tc>
              <w:tcPr>
                <w:tcW w:w="29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Intervenir 20 Punto(s) críticos de la malla vial rural</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Número de puntos críticos de la malla vial rural intervenidos</w:t>
                </w:r>
              </w:p>
            </w:tc>
            <w:tc>
              <w:tcPr>
                <w:tcW w:w="145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Unidad Administrativa Especial de Rehabilitación y Mantenimiento Vial</w:t>
                </w:r>
              </w:p>
            </w:tc>
            <w:tc>
              <w:tcPr>
                <w:tcW w:w="960"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67%</w:t>
                </w:r>
              </w:p>
            </w:tc>
            <w:tc>
              <w:tcPr>
                <w:tcW w:w="97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40%</w:t>
                </w:r>
              </w:p>
            </w:tc>
          </w:tr>
          <w:tr w:rsidR="0043135B" w:rsidTr="00863609">
            <w:trPr>
              <w:trHeight w:val="4320"/>
            </w:trPr>
            <w:tc>
              <w:tcPr>
                <w:tcW w:w="29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Desarrollar 4 Estrategia(s) de empoderamiento para promover capacidades, liderazgos, participación, incidencia política y transformación de imaginarios culturales que, reproducen los estereotipos de género en los territorios urbanos y rurales</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Número de estrategias que aporten a la garantía de los derechos de las mujeres desde los territorios urbanos y rurales en temáticas asociadas a la prevención de violencias capacidades y oportunidades diseñadas y desarrolladas</w:t>
                </w:r>
              </w:p>
            </w:tc>
            <w:tc>
              <w:tcPr>
                <w:tcW w:w="145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Secretaría Distrital de la Mujer</w:t>
                </w:r>
              </w:p>
            </w:tc>
            <w:tc>
              <w:tcPr>
                <w:tcW w:w="960"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100%</w:t>
                </w:r>
              </w:p>
            </w:tc>
            <w:tc>
              <w:tcPr>
                <w:tcW w:w="97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50%</w:t>
                </w:r>
              </w:p>
            </w:tc>
          </w:tr>
          <w:tr w:rsidR="0043135B" w:rsidTr="00863609">
            <w:trPr>
              <w:trHeight w:val="2205"/>
            </w:trPr>
            <w:tc>
              <w:tcPr>
                <w:tcW w:w="29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Mantener en funcionamiento el modelo de Casas de igualdad de oportunidades para las mujeres en las 20 Localidad(es) fortaleciendo la atención en los territorios urbanos y rurales</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Número Casas de Igualdad de Oportunidades para las Mujeres en los territorios urbanos y rurales en operación</w:t>
                </w:r>
              </w:p>
            </w:tc>
            <w:tc>
              <w:tcPr>
                <w:tcW w:w="145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Secretaría Distrital de la Mujer</w:t>
                </w:r>
              </w:p>
            </w:tc>
            <w:tc>
              <w:tcPr>
                <w:tcW w:w="960"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100%</w:t>
                </w:r>
              </w:p>
            </w:tc>
            <w:tc>
              <w:tcPr>
                <w:tcW w:w="97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50%</w:t>
                </w:r>
              </w:p>
            </w:tc>
          </w:tr>
          <w:tr w:rsidR="0043135B" w:rsidTr="00863609">
            <w:trPr>
              <w:trHeight w:val="1155"/>
            </w:trPr>
            <w:tc>
              <w:tcPr>
                <w:tcW w:w="29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Mantener 500000 Arbol(es) en zona urbana y rural en el Distrito Capital</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Número de árboles mantenido en zona urbana y rural</w:t>
                </w:r>
              </w:p>
            </w:tc>
            <w:tc>
              <w:tcPr>
                <w:tcW w:w="145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Jardín Botánico José Celestino Mutis</w:t>
                </w:r>
              </w:p>
            </w:tc>
            <w:tc>
              <w:tcPr>
                <w:tcW w:w="960"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79%</w:t>
                </w:r>
              </w:p>
            </w:tc>
            <w:tc>
              <w:tcPr>
                <w:tcW w:w="975" w:type="dxa"/>
                <w:tcBorders>
                  <w:top w:val="nil"/>
                  <w:left w:val="nil"/>
                  <w:bottom w:val="single" w:sz="5" w:space="0" w:color="000000"/>
                  <w:right w:val="single" w:sz="5" w:space="0" w:color="000000"/>
                </w:tcBorders>
                <w:tcMar>
                  <w:top w:w="0" w:type="dxa"/>
                  <w:left w:w="100" w:type="dxa"/>
                  <w:bottom w:w="0" w:type="dxa"/>
                  <w:right w:w="100" w:type="dxa"/>
                </w:tcMar>
              </w:tcPr>
              <w:p w:rsidR="0043135B" w:rsidRDefault="0043135B" w:rsidP="00863609">
                <w:pPr>
                  <w:spacing w:before="240" w:line="276" w:lineRule="auto"/>
                </w:pPr>
                <w:r>
                  <w:t>79%</w:t>
                </w:r>
              </w:p>
            </w:tc>
          </w:tr>
        </w:tbl>
      </w:sdtContent>
    </w:sdt>
    <w:p w:rsidR="0043135B" w:rsidRDefault="0043135B" w:rsidP="0043135B"/>
    <w:p w:rsidR="0043135B" w:rsidRDefault="0043135B" w:rsidP="0043135B">
      <w:pPr>
        <w:jc w:val="both"/>
      </w:pPr>
      <w:r>
        <w:t xml:space="preserve">En la atención rural preocupa el avance de 6 indicadores de ciudad sobre las inversiones en las zonas rurales de Bogotá, donde lo más grave se puede observar en la brecha digital, los mejoramientos de vivienda y el apoyo financiero productivo, que su avance está por debajo del 20%. </w:t>
      </w:r>
    </w:p>
    <w:p w:rsidR="0043135B" w:rsidRDefault="0043135B" w:rsidP="0043135B">
      <w:pPr>
        <w:jc w:val="both"/>
      </w:pPr>
      <w:r>
        <w:t>El alcantarillado y el gas natural son los servicios con el mayor rezago, con una cobertura inferior al 20%, lo que afecta la calidad de vida y genera problemas de contaminación hídrica por vertimientos directos.</w:t>
      </w:r>
    </w:p>
    <w:p w:rsidR="0043135B" w:rsidRDefault="0043135B" w:rsidP="0043135B">
      <w:pPr>
        <w:jc w:val="both"/>
      </w:pPr>
    </w:p>
    <w:p w:rsidR="0043135B" w:rsidRDefault="0043135B" w:rsidP="0043135B">
      <w:pPr>
        <w:jc w:val="both"/>
        <w:rPr>
          <w:b/>
          <w:bCs/>
        </w:rPr>
      </w:pPr>
      <w:r>
        <w:rPr>
          <w:b/>
          <w:bCs/>
        </w:rPr>
        <w:t>II. ANALISIS POR SECTORES Y ENTIDADES</w:t>
      </w:r>
    </w:p>
    <w:p w:rsidR="00743DA6" w:rsidRDefault="00743DA6">
      <w:pPr>
        <w:jc w:val="both"/>
        <w:rPr>
          <w:b/>
          <w:bCs/>
          <w:sz w:val="22"/>
          <w:szCs w:val="22"/>
        </w:rPr>
      </w:pPr>
    </w:p>
    <w:p w:rsidR="00743DA6" w:rsidRDefault="00D95D19">
      <w:pPr>
        <w:spacing w:line="276" w:lineRule="auto"/>
        <w:jc w:val="both"/>
        <w:rPr>
          <w:sz w:val="22"/>
          <w:szCs w:val="22"/>
        </w:rPr>
      </w:pPr>
      <w:r>
        <w:rPr>
          <w:sz w:val="22"/>
          <w:szCs w:val="22"/>
        </w:rPr>
        <w:t>En aras de una mejor comprensión desglosada por sectores se debe señalar los siguientes aspectos:</w:t>
      </w:r>
    </w:p>
    <w:p w:rsidR="00743DA6" w:rsidRDefault="00D95D19">
      <w:pPr>
        <w:numPr>
          <w:ilvl w:val="0"/>
          <w:numId w:val="30"/>
        </w:numPr>
        <w:pBdr>
          <w:top w:val="nil"/>
          <w:left w:val="nil"/>
          <w:bottom w:val="nil"/>
          <w:right w:val="nil"/>
          <w:between w:val="nil"/>
        </w:pBdr>
        <w:spacing w:line="276" w:lineRule="auto"/>
        <w:jc w:val="both"/>
        <w:rPr>
          <w:color w:val="000000"/>
          <w:sz w:val="22"/>
          <w:szCs w:val="22"/>
        </w:rPr>
      </w:pPr>
      <w:r>
        <w:rPr>
          <w:color w:val="000000"/>
          <w:sz w:val="22"/>
          <w:szCs w:val="22"/>
        </w:rPr>
        <w:t>El sistema presupuestal es un conjunto de herramientas dirigido a organizar la información financiera en los entes públicos para optimizar la utilización de los recursos y la satisfacción de las necesidades de la población de acuerdo con las competencias que le han sido asignadas constitucional y legalmente. y constituido por el Plan Financiero Plurianual. Al igual, está compuesto por un Plan Operativo Anual de Inversiones, para que desarrollo del Presupuesto Anual que hace parte de los Anexos 1, 2, 3 y 4.</w:t>
      </w:r>
    </w:p>
    <w:p w:rsidR="00743DA6" w:rsidRDefault="00743DA6">
      <w:pPr>
        <w:pBdr>
          <w:top w:val="nil"/>
          <w:left w:val="nil"/>
          <w:bottom w:val="nil"/>
          <w:right w:val="nil"/>
          <w:between w:val="nil"/>
        </w:pBdr>
        <w:spacing w:line="276" w:lineRule="auto"/>
        <w:ind w:left="720"/>
        <w:jc w:val="both"/>
        <w:rPr>
          <w:color w:val="000000"/>
          <w:sz w:val="22"/>
          <w:szCs w:val="22"/>
        </w:rPr>
      </w:pPr>
    </w:p>
    <w:p w:rsidR="00743DA6" w:rsidRDefault="00D95D19">
      <w:pPr>
        <w:numPr>
          <w:ilvl w:val="0"/>
          <w:numId w:val="30"/>
        </w:numPr>
        <w:pBdr>
          <w:top w:val="nil"/>
          <w:left w:val="nil"/>
          <w:bottom w:val="nil"/>
          <w:right w:val="nil"/>
          <w:between w:val="nil"/>
        </w:pBdr>
        <w:spacing w:line="276" w:lineRule="auto"/>
        <w:jc w:val="both"/>
        <w:rPr>
          <w:color w:val="000000"/>
          <w:sz w:val="22"/>
          <w:szCs w:val="22"/>
        </w:rPr>
      </w:pPr>
      <w:r>
        <w:rPr>
          <w:color w:val="000000"/>
          <w:sz w:val="22"/>
          <w:szCs w:val="22"/>
        </w:rPr>
        <w:t>El sistema presupuestal está constituido por el Plan Financiero Plurianual, que se puede evidenciar detalladamente en las Fichas de Estadística Básica de Inversión conocidas como fichas EBI. Del mismo modo, está compuesto por un Plan Operativo Anual de Inversiones, para que desarrollo del Presupuesto Anual que hace parte de los Anexos 1, 2, 3 y 4.</w:t>
      </w:r>
    </w:p>
    <w:p w:rsidR="00743DA6" w:rsidRDefault="00743DA6">
      <w:pPr>
        <w:pBdr>
          <w:top w:val="nil"/>
          <w:left w:val="nil"/>
          <w:bottom w:val="nil"/>
          <w:right w:val="nil"/>
          <w:between w:val="nil"/>
        </w:pBdr>
        <w:spacing w:line="276" w:lineRule="auto"/>
        <w:ind w:left="720"/>
        <w:jc w:val="both"/>
        <w:rPr>
          <w:color w:val="000000"/>
          <w:sz w:val="22"/>
          <w:szCs w:val="22"/>
        </w:rPr>
      </w:pPr>
    </w:p>
    <w:p w:rsidR="00743DA6" w:rsidRDefault="00D95D19">
      <w:pPr>
        <w:numPr>
          <w:ilvl w:val="0"/>
          <w:numId w:val="30"/>
        </w:numPr>
        <w:pBdr>
          <w:top w:val="nil"/>
          <w:left w:val="nil"/>
          <w:bottom w:val="nil"/>
          <w:right w:val="nil"/>
          <w:between w:val="nil"/>
        </w:pBdr>
        <w:spacing w:line="276" w:lineRule="auto"/>
        <w:jc w:val="both"/>
        <w:rPr>
          <w:color w:val="000000"/>
          <w:sz w:val="22"/>
          <w:szCs w:val="22"/>
        </w:rPr>
      </w:pPr>
      <w:r>
        <w:rPr>
          <w:color w:val="000000"/>
          <w:sz w:val="22"/>
          <w:szCs w:val="22"/>
        </w:rPr>
        <w:t>El presupuesto es un instrumento económico y administrativo con un carácter político, porque guarda concordancia con el plan financiero del gobierno de turno y financia sus programas y proyectos que fueron incluidos en el Plan de Desarrollo de Bogotá D.C.</w:t>
      </w:r>
    </w:p>
    <w:p w:rsidR="00743DA6" w:rsidRDefault="00743DA6">
      <w:pPr>
        <w:spacing w:line="276" w:lineRule="auto"/>
        <w:rPr>
          <w:sz w:val="22"/>
          <w:szCs w:val="22"/>
        </w:rPr>
      </w:pPr>
    </w:p>
    <w:p w:rsidR="00743DA6" w:rsidRDefault="00D95D19">
      <w:pPr>
        <w:numPr>
          <w:ilvl w:val="0"/>
          <w:numId w:val="30"/>
        </w:numPr>
        <w:pBdr>
          <w:top w:val="nil"/>
          <w:left w:val="nil"/>
          <w:bottom w:val="nil"/>
          <w:right w:val="nil"/>
          <w:between w:val="nil"/>
        </w:pBdr>
        <w:spacing w:line="276" w:lineRule="auto"/>
        <w:jc w:val="both"/>
        <w:rPr>
          <w:color w:val="000000"/>
          <w:sz w:val="22"/>
          <w:szCs w:val="22"/>
        </w:rPr>
      </w:pPr>
      <w:r>
        <w:rPr>
          <w:color w:val="000000"/>
          <w:sz w:val="22"/>
          <w:szCs w:val="22"/>
        </w:rPr>
        <w:t>Por lo anterior se hace necesario resaltar la estructura del mismo respecto los porcentajes de asignación del presupuesto en discusión:</w:t>
      </w:r>
    </w:p>
    <w:p w:rsidR="00743DA6" w:rsidRDefault="00D95D19">
      <w:pPr>
        <w:spacing w:line="276" w:lineRule="auto"/>
        <w:jc w:val="both"/>
        <w:rPr>
          <w:sz w:val="22"/>
          <w:szCs w:val="22"/>
        </w:rPr>
      </w:pPr>
      <w:r>
        <w:rPr>
          <w:noProof/>
          <w:sz w:val="22"/>
          <w:szCs w:val="22"/>
          <w:lang w:val="es-CO"/>
        </w:rPr>
        <w:drawing>
          <wp:inline distT="114300" distB="114300" distL="114300" distR="114300">
            <wp:extent cx="5612130" cy="3175000"/>
            <wp:effectExtent l="0" t="0" r="0" b="0"/>
            <wp:docPr id="2127399622"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4"/>
                    <a:srcRect/>
                    <a:stretch>
                      <a:fillRect/>
                    </a:stretch>
                  </pic:blipFill>
                  <pic:spPr>
                    <a:xfrm>
                      <a:off x="0" y="0"/>
                      <a:ext cx="5612130" cy="3175000"/>
                    </a:xfrm>
                    <a:prstGeom prst="rect">
                      <a:avLst/>
                    </a:prstGeom>
                    <a:ln/>
                  </pic:spPr>
                </pic:pic>
              </a:graphicData>
            </a:graphic>
          </wp:inline>
        </w:drawing>
      </w:r>
    </w:p>
    <w:p w:rsidR="00743DA6" w:rsidRDefault="00743DA6">
      <w:pPr>
        <w:spacing w:line="276" w:lineRule="auto"/>
        <w:jc w:val="center"/>
        <w:rPr>
          <w:b/>
          <w:bCs/>
          <w:sz w:val="22"/>
          <w:szCs w:val="22"/>
        </w:rPr>
      </w:pPr>
    </w:p>
    <w:p w:rsidR="00743DA6" w:rsidRDefault="00D95D19">
      <w:pPr>
        <w:spacing w:line="276" w:lineRule="auto"/>
        <w:jc w:val="center"/>
        <w:rPr>
          <w:b/>
          <w:bCs/>
          <w:sz w:val="22"/>
          <w:szCs w:val="22"/>
        </w:rPr>
      </w:pPr>
      <w:r>
        <w:rPr>
          <w:b/>
          <w:bCs/>
          <w:sz w:val="22"/>
          <w:szCs w:val="22"/>
        </w:rPr>
        <w:t>Aspectos para analizar por sectores</w:t>
      </w:r>
    </w:p>
    <w:p w:rsidR="00743DA6" w:rsidRDefault="00743DA6">
      <w:pPr>
        <w:spacing w:line="276" w:lineRule="auto"/>
        <w:jc w:val="both"/>
        <w:rPr>
          <w:sz w:val="22"/>
          <w:szCs w:val="22"/>
        </w:rPr>
      </w:pPr>
    </w:p>
    <w:p w:rsidR="00743DA6" w:rsidRDefault="00D95D19">
      <w:pPr>
        <w:jc w:val="both"/>
        <w:rPr>
          <w:b/>
          <w:bCs/>
          <w:sz w:val="25"/>
          <w:szCs w:val="25"/>
          <w:highlight w:val="white"/>
        </w:rPr>
      </w:pPr>
      <w:r>
        <w:rPr>
          <w:b/>
          <w:bCs/>
          <w:sz w:val="25"/>
          <w:szCs w:val="25"/>
          <w:highlight w:val="white"/>
        </w:rPr>
        <w:t>Secretaría de Seguridad, Convivencia y Justicia</w:t>
      </w:r>
    </w:p>
    <w:p w:rsidR="00743DA6" w:rsidRDefault="00743DA6">
      <w:pPr>
        <w:jc w:val="both"/>
        <w:rPr>
          <w:b/>
          <w:bCs/>
          <w:sz w:val="25"/>
          <w:szCs w:val="25"/>
          <w:highlight w:val="white"/>
        </w:rPr>
      </w:pPr>
    </w:p>
    <w:p w:rsidR="00743DA6" w:rsidRDefault="00D95D19">
      <w:pPr>
        <w:spacing w:line="276" w:lineRule="auto"/>
        <w:ind w:right="62"/>
        <w:jc w:val="both"/>
        <w:rPr>
          <w:sz w:val="22"/>
          <w:szCs w:val="22"/>
        </w:rPr>
      </w:pPr>
      <w:r>
        <w:rPr>
          <w:sz w:val="22"/>
          <w:szCs w:val="22"/>
        </w:rPr>
        <w:t xml:space="preserve">La Secretaría de Seguridad, Convivencia y Justicia cuenta con una asignación presupuestal para el 2026 de $903.406 millones distribuidos en $763.587 millones para inversión directa con una variación de 5,8% y $137.796 millones para funcionamiento con una variación de 4,4%. En total se proyecta un aumento de 5,9% en el presupuesto para la entidad en la vigencia 2026, lo que representa aproximadamente 2.7% del presupuesto total del Distrito ($40.4 billones).  </w:t>
      </w:r>
    </w:p>
    <w:p w:rsidR="00743DA6" w:rsidRDefault="00743DA6">
      <w:pPr>
        <w:spacing w:line="276" w:lineRule="auto"/>
        <w:ind w:right="62"/>
        <w:jc w:val="both"/>
        <w:rPr>
          <w:sz w:val="22"/>
          <w:szCs w:val="22"/>
        </w:rPr>
      </w:pPr>
    </w:p>
    <w:p w:rsidR="00743DA6" w:rsidRDefault="00D95D19">
      <w:pPr>
        <w:spacing w:line="276" w:lineRule="auto"/>
        <w:ind w:right="62"/>
        <w:jc w:val="both"/>
        <w:rPr>
          <w:sz w:val="25"/>
          <w:szCs w:val="25"/>
          <w:highlight w:val="white"/>
        </w:rPr>
      </w:pPr>
      <w:r>
        <w:rPr>
          <w:sz w:val="22"/>
          <w:szCs w:val="22"/>
        </w:rPr>
        <w:t>El análisis del presupuesto de inversión directa para SDSCJ entre 2022 y 2026 revela tendencias preocupantes en la relación entre asignación y ejecución de recursos, con un incremento significativo proyectado para 2026 que contrasta con la reducción progresiva de los giros presupuestales y la capacidad de ejecución en años anteriores. Estos hallazgos exigen una revisión detallada de la priorización de proyectos de inversión y la transparencia en la gestión de los recursos públicos.</w:t>
      </w:r>
    </w:p>
    <w:p w:rsidR="00743DA6" w:rsidRDefault="00743DA6">
      <w:pPr>
        <w:ind w:right="62"/>
        <w:jc w:val="center"/>
        <w:rPr>
          <w:sz w:val="25"/>
          <w:szCs w:val="25"/>
          <w:highlight w:val="white"/>
        </w:rPr>
      </w:pPr>
    </w:p>
    <w:p w:rsidR="00743DA6" w:rsidRDefault="00D95D19">
      <w:pPr>
        <w:ind w:right="62"/>
        <w:jc w:val="center"/>
        <w:rPr>
          <w:sz w:val="22"/>
          <w:szCs w:val="22"/>
          <w:highlight w:val="white"/>
        </w:rPr>
      </w:pPr>
      <w:r>
        <w:rPr>
          <w:sz w:val="22"/>
          <w:szCs w:val="22"/>
          <w:highlight w:val="white"/>
        </w:rPr>
        <w:t xml:space="preserve">Gráfica 1: Histórico presupuestal SDSCJ 2022-2026 </w:t>
      </w:r>
    </w:p>
    <w:p w:rsidR="00743DA6" w:rsidRDefault="00D95D19">
      <w:pPr>
        <w:spacing w:line="276" w:lineRule="auto"/>
        <w:ind w:right="62"/>
        <w:jc w:val="center"/>
        <w:rPr>
          <w:sz w:val="22"/>
          <w:szCs w:val="22"/>
        </w:rPr>
      </w:pPr>
      <w:r>
        <w:rPr>
          <w:noProof/>
          <w:sz w:val="22"/>
          <w:szCs w:val="22"/>
          <w:lang w:val="es-CO"/>
        </w:rPr>
        <w:drawing>
          <wp:inline distT="114300" distB="114300" distL="114300" distR="114300">
            <wp:extent cx="5557930" cy="2719252"/>
            <wp:effectExtent l="0" t="0" r="0" b="0"/>
            <wp:docPr id="2127399624"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5"/>
                    <a:srcRect/>
                    <a:stretch>
                      <a:fillRect/>
                    </a:stretch>
                  </pic:blipFill>
                  <pic:spPr>
                    <a:xfrm>
                      <a:off x="0" y="0"/>
                      <a:ext cx="5557930" cy="2719252"/>
                    </a:xfrm>
                    <a:prstGeom prst="rect">
                      <a:avLst/>
                    </a:prstGeom>
                    <a:ln/>
                  </pic:spPr>
                </pic:pic>
              </a:graphicData>
            </a:graphic>
          </wp:inline>
        </w:drawing>
      </w:r>
    </w:p>
    <w:p w:rsidR="00743DA6" w:rsidRDefault="00D95D19">
      <w:pPr>
        <w:spacing w:line="276" w:lineRule="auto"/>
        <w:ind w:right="62" w:firstLine="3"/>
        <w:jc w:val="center"/>
        <w:rPr>
          <w:sz w:val="18"/>
          <w:szCs w:val="18"/>
        </w:rPr>
      </w:pPr>
      <w:r>
        <w:rPr>
          <w:sz w:val="18"/>
          <w:szCs w:val="18"/>
        </w:rPr>
        <w:t>Fuente: Elaboración propia (2025) con base en la información suministrada de la SDH: Comparativo presupuesto anual por entidades 2022-2026</w:t>
      </w:r>
    </w:p>
    <w:p w:rsidR="00743DA6" w:rsidRDefault="00743DA6">
      <w:pPr>
        <w:spacing w:line="276" w:lineRule="auto"/>
        <w:ind w:left="-566" w:right="62"/>
        <w:rPr>
          <w:sz w:val="22"/>
          <w:szCs w:val="22"/>
        </w:rPr>
      </w:pPr>
    </w:p>
    <w:p w:rsidR="00743DA6" w:rsidRDefault="00D95D19">
      <w:pPr>
        <w:spacing w:line="276" w:lineRule="auto"/>
        <w:ind w:right="62"/>
        <w:jc w:val="both"/>
        <w:rPr>
          <w:sz w:val="22"/>
          <w:szCs w:val="22"/>
        </w:rPr>
      </w:pPr>
      <w:r>
        <w:rPr>
          <w:sz w:val="22"/>
          <w:szCs w:val="22"/>
        </w:rPr>
        <w:t xml:space="preserve">Según la gráfica, la SDSCJ presenta una inversión directa relativamente estable entre los años 2022 a 2024 con una ligera disminución para el año 2023. En el año 2025 el presupuesto asignado para la entidad asciende significativamente a $719.150 millones, aumentando un 43% respecto al año 2024 y esto contrasta con la caída del porcentaje de ejecución de compromisos que para el 2024 estaba en un 96% y en 2025 con fecha de corte al 30 de octubre estaba en 59%. Resulta entonces alarmante un aumento del 5,9% en el presupuesto con unas cifras tan bajas de ejecución de esos dineros. </w:t>
      </w:r>
    </w:p>
    <w:p w:rsidR="00743DA6" w:rsidRDefault="00743DA6">
      <w:pPr>
        <w:spacing w:line="276" w:lineRule="auto"/>
        <w:ind w:right="62"/>
        <w:jc w:val="both"/>
        <w:rPr>
          <w:sz w:val="22"/>
          <w:szCs w:val="22"/>
        </w:rPr>
      </w:pPr>
    </w:p>
    <w:p w:rsidR="00743DA6" w:rsidRDefault="00D95D19">
      <w:pPr>
        <w:spacing w:line="276" w:lineRule="auto"/>
        <w:ind w:right="62"/>
        <w:jc w:val="center"/>
        <w:rPr>
          <w:rFonts w:ascii="Roboto" w:eastAsia="Roboto" w:hAnsi="Roboto" w:cs="Roboto"/>
          <w:b/>
          <w:bCs/>
          <w:color w:val="0F1115"/>
          <w:sz w:val="20"/>
          <w:szCs w:val="20"/>
          <w:highlight w:val="white"/>
        </w:rPr>
      </w:pPr>
      <w:r>
        <w:rPr>
          <w:sz w:val="22"/>
          <w:szCs w:val="22"/>
        </w:rPr>
        <w:t>Tabla 10. Presupuesto Anual- Sector Seguridad, Convivencia y Justicia (SDSCJ)</w:t>
      </w:r>
    </w:p>
    <w:tbl>
      <w:tblPr>
        <w:tblStyle w:val="afffff6"/>
        <w:tblW w:w="8838" w:type="dxa"/>
        <w:tblBorders>
          <w:top w:val="nil"/>
          <w:left w:val="nil"/>
          <w:bottom w:val="nil"/>
          <w:right w:val="nil"/>
          <w:insideH w:val="nil"/>
          <w:insideV w:val="nil"/>
        </w:tblBorders>
        <w:tblLayout w:type="fixed"/>
        <w:tblLook w:val="0600" w:firstRow="0" w:lastRow="0" w:firstColumn="0" w:lastColumn="0" w:noHBand="1" w:noVBand="1"/>
      </w:tblPr>
      <w:tblGrid>
        <w:gridCol w:w="1150"/>
        <w:gridCol w:w="1662"/>
        <w:gridCol w:w="1662"/>
        <w:gridCol w:w="1931"/>
        <w:gridCol w:w="2433"/>
      </w:tblGrid>
      <w:tr w:rsidR="00743DA6">
        <w:trPr>
          <w:trHeight w:val="510"/>
        </w:trPr>
        <w:tc>
          <w:tcPr>
            <w:tcW w:w="1149" w:type="dxa"/>
            <w:tcBorders>
              <w:top w:val="single" w:sz="5" w:space="0" w:color="000000"/>
              <w:left w:val="single" w:sz="5" w:space="0" w:color="000000"/>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Año</w:t>
            </w:r>
          </w:p>
        </w:tc>
        <w:tc>
          <w:tcPr>
            <w:tcW w:w="1662" w:type="dxa"/>
            <w:tcBorders>
              <w:top w:val="single" w:sz="5" w:space="0" w:color="000000"/>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presupuesto disponible  (Millones COP)</w:t>
            </w:r>
          </w:p>
        </w:tc>
        <w:tc>
          <w:tcPr>
            <w:tcW w:w="1662" w:type="dxa"/>
            <w:tcBorders>
              <w:top w:val="single" w:sz="5" w:space="0" w:color="000000"/>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Presupuesto de Giros (millones COP)</w:t>
            </w:r>
          </w:p>
        </w:tc>
        <w:tc>
          <w:tcPr>
            <w:tcW w:w="1931" w:type="dxa"/>
            <w:tcBorders>
              <w:top w:val="single" w:sz="5" w:space="0" w:color="000000"/>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Porcentaje de Giros (%)</w:t>
            </w:r>
          </w:p>
        </w:tc>
        <w:tc>
          <w:tcPr>
            <w:tcW w:w="2432" w:type="dxa"/>
            <w:tcBorders>
              <w:top w:val="single" w:sz="5" w:space="0" w:color="000000"/>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Ejecución compromisos (%)</w:t>
            </w:r>
          </w:p>
        </w:tc>
      </w:tr>
      <w:tr w:rsidR="00743DA6">
        <w:trPr>
          <w:trHeight w:val="510"/>
        </w:trPr>
        <w:tc>
          <w:tcPr>
            <w:tcW w:w="1149" w:type="dxa"/>
            <w:tcBorders>
              <w:top w:val="nil"/>
              <w:left w:val="single" w:sz="5" w:space="0" w:color="000000"/>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2022</w:t>
            </w:r>
          </w:p>
        </w:tc>
        <w:tc>
          <w:tcPr>
            <w:tcW w:w="166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$538,504</w:t>
            </w:r>
          </w:p>
        </w:tc>
        <w:tc>
          <w:tcPr>
            <w:tcW w:w="166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$293.590</w:t>
            </w:r>
          </w:p>
        </w:tc>
        <w:tc>
          <w:tcPr>
            <w:tcW w:w="1931"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54%</w:t>
            </w:r>
          </w:p>
        </w:tc>
        <w:tc>
          <w:tcPr>
            <w:tcW w:w="243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94%</w:t>
            </w:r>
          </w:p>
        </w:tc>
      </w:tr>
      <w:tr w:rsidR="00743DA6">
        <w:trPr>
          <w:trHeight w:val="510"/>
        </w:trPr>
        <w:tc>
          <w:tcPr>
            <w:tcW w:w="1149" w:type="dxa"/>
            <w:tcBorders>
              <w:top w:val="nil"/>
              <w:left w:val="single" w:sz="5" w:space="0" w:color="000000"/>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2023</w:t>
            </w:r>
          </w:p>
        </w:tc>
        <w:tc>
          <w:tcPr>
            <w:tcW w:w="166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$459,255</w:t>
            </w:r>
          </w:p>
        </w:tc>
        <w:tc>
          <w:tcPr>
            <w:tcW w:w="166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$276.292</w:t>
            </w:r>
          </w:p>
        </w:tc>
        <w:tc>
          <w:tcPr>
            <w:tcW w:w="1931"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60%</w:t>
            </w:r>
          </w:p>
        </w:tc>
        <w:tc>
          <w:tcPr>
            <w:tcW w:w="243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93%</w:t>
            </w:r>
          </w:p>
        </w:tc>
      </w:tr>
      <w:tr w:rsidR="00743DA6">
        <w:trPr>
          <w:trHeight w:val="510"/>
        </w:trPr>
        <w:tc>
          <w:tcPr>
            <w:tcW w:w="1149" w:type="dxa"/>
            <w:tcBorders>
              <w:top w:val="nil"/>
              <w:left w:val="single" w:sz="5" w:space="0" w:color="000000"/>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2024</w:t>
            </w:r>
          </w:p>
        </w:tc>
        <w:tc>
          <w:tcPr>
            <w:tcW w:w="166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$548,283</w:t>
            </w:r>
          </w:p>
        </w:tc>
        <w:tc>
          <w:tcPr>
            <w:tcW w:w="166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$305.233</w:t>
            </w:r>
          </w:p>
        </w:tc>
        <w:tc>
          <w:tcPr>
            <w:tcW w:w="1931"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55%</w:t>
            </w:r>
          </w:p>
        </w:tc>
        <w:tc>
          <w:tcPr>
            <w:tcW w:w="243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97%</w:t>
            </w:r>
          </w:p>
        </w:tc>
      </w:tr>
      <w:tr w:rsidR="00743DA6">
        <w:trPr>
          <w:trHeight w:val="1047"/>
        </w:trPr>
        <w:tc>
          <w:tcPr>
            <w:tcW w:w="1149" w:type="dxa"/>
            <w:tcBorders>
              <w:top w:val="nil"/>
              <w:left w:val="single" w:sz="5" w:space="0" w:color="000000"/>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2025</w:t>
            </w:r>
          </w:p>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30/10</w:t>
            </w:r>
          </w:p>
        </w:tc>
        <w:tc>
          <w:tcPr>
            <w:tcW w:w="166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$787,277</w:t>
            </w:r>
          </w:p>
        </w:tc>
        <w:tc>
          <w:tcPr>
            <w:tcW w:w="166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sz w:val="20"/>
                <w:szCs w:val="20"/>
                <w:highlight w:val="white"/>
              </w:rPr>
            </w:pPr>
            <w:r>
              <w:rPr>
                <w:rFonts w:ascii="Roboto" w:eastAsia="Roboto" w:hAnsi="Roboto" w:cs="Roboto"/>
                <w:sz w:val="20"/>
                <w:szCs w:val="20"/>
                <w:highlight w:val="white"/>
              </w:rPr>
              <w:t>$209.623</w:t>
            </w:r>
          </w:p>
        </w:tc>
        <w:tc>
          <w:tcPr>
            <w:tcW w:w="1931"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sz w:val="20"/>
                <w:szCs w:val="20"/>
                <w:highlight w:val="white"/>
              </w:rPr>
            </w:pPr>
            <w:r>
              <w:rPr>
                <w:rFonts w:ascii="Roboto" w:eastAsia="Roboto" w:hAnsi="Roboto" w:cs="Roboto"/>
                <w:sz w:val="20"/>
                <w:szCs w:val="20"/>
                <w:highlight w:val="white"/>
              </w:rPr>
              <w:t>26%</w:t>
            </w:r>
          </w:p>
        </w:tc>
        <w:tc>
          <w:tcPr>
            <w:tcW w:w="243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61%</w:t>
            </w:r>
          </w:p>
        </w:tc>
      </w:tr>
      <w:tr w:rsidR="00743DA6">
        <w:trPr>
          <w:trHeight w:val="510"/>
        </w:trPr>
        <w:tc>
          <w:tcPr>
            <w:tcW w:w="1149" w:type="dxa"/>
            <w:tcBorders>
              <w:top w:val="nil"/>
              <w:left w:val="single" w:sz="5" w:space="0" w:color="000000"/>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2026</w:t>
            </w:r>
          </w:p>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proyecto</w:t>
            </w:r>
          </w:p>
        </w:tc>
        <w:tc>
          <w:tcPr>
            <w:tcW w:w="166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$831.521</w:t>
            </w:r>
          </w:p>
        </w:tc>
        <w:tc>
          <w:tcPr>
            <w:tcW w:w="166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w:t>
            </w:r>
          </w:p>
        </w:tc>
        <w:tc>
          <w:tcPr>
            <w:tcW w:w="1931"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w:t>
            </w:r>
          </w:p>
        </w:tc>
        <w:tc>
          <w:tcPr>
            <w:tcW w:w="2432" w:type="dxa"/>
            <w:tcBorders>
              <w:top w:val="nil"/>
              <w:left w:val="nil"/>
              <w:bottom w:val="single" w:sz="5" w:space="0" w:color="000000"/>
              <w:right w:val="single" w:sz="5" w:space="0" w:color="000000"/>
            </w:tcBorders>
            <w:tcMar>
              <w:top w:w="-680" w:type="dxa"/>
              <w:left w:w="-680" w:type="dxa"/>
              <w:bottom w:w="-680" w:type="dxa"/>
              <w:right w:w="-680" w:type="dxa"/>
            </w:tcMar>
            <w:vAlign w:val="bottom"/>
          </w:tcPr>
          <w:p w:rsidR="00743DA6" w:rsidRDefault="00D95D19">
            <w:pPr>
              <w:spacing w:before="240" w:after="240" w:line="276" w:lineRule="auto"/>
              <w:ind w:right="62"/>
              <w:jc w:val="center"/>
              <w:rPr>
                <w:rFonts w:ascii="Roboto" w:eastAsia="Roboto" w:hAnsi="Roboto" w:cs="Roboto"/>
                <w:color w:val="0F1115"/>
                <w:sz w:val="20"/>
                <w:szCs w:val="20"/>
                <w:highlight w:val="white"/>
              </w:rPr>
            </w:pPr>
            <w:r>
              <w:rPr>
                <w:rFonts w:ascii="Roboto" w:eastAsia="Roboto" w:hAnsi="Roboto" w:cs="Roboto"/>
                <w:color w:val="0F1115"/>
                <w:sz w:val="20"/>
                <w:szCs w:val="20"/>
                <w:highlight w:val="white"/>
              </w:rPr>
              <w:t>-</w:t>
            </w:r>
          </w:p>
        </w:tc>
      </w:tr>
    </w:tbl>
    <w:p w:rsidR="00743DA6" w:rsidRDefault="00D95D19">
      <w:pPr>
        <w:spacing w:before="240" w:after="240" w:line="276" w:lineRule="auto"/>
        <w:ind w:right="62"/>
        <w:jc w:val="center"/>
        <w:rPr>
          <w:sz w:val="18"/>
          <w:szCs w:val="18"/>
        </w:rPr>
      </w:pPr>
      <w:r>
        <w:rPr>
          <w:sz w:val="18"/>
          <w:szCs w:val="18"/>
        </w:rPr>
        <w:t>Fuente: Elaboración propia (2025) con base en la información suministrada de SDH: Comparativo presupuesto anual por entidades 2022-2026</w:t>
      </w:r>
    </w:p>
    <w:p w:rsidR="00743DA6" w:rsidRDefault="00D95D19">
      <w:pPr>
        <w:spacing w:before="240" w:after="240" w:line="276" w:lineRule="auto"/>
        <w:ind w:right="62"/>
        <w:rPr>
          <w:sz w:val="22"/>
          <w:szCs w:val="22"/>
        </w:rPr>
      </w:pPr>
      <w:r>
        <w:rPr>
          <w:b/>
          <w:bCs/>
          <w:sz w:val="22"/>
          <w:szCs w:val="22"/>
        </w:rPr>
        <w:t>Hallazgos Principales en ejecución presupuestal de SDSCJ</w:t>
      </w:r>
    </w:p>
    <w:p w:rsidR="00743DA6" w:rsidRDefault="00D95D19">
      <w:pPr>
        <w:spacing w:before="240" w:after="240" w:line="276" w:lineRule="auto"/>
        <w:ind w:right="62"/>
        <w:jc w:val="both"/>
        <w:rPr>
          <w:sz w:val="22"/>
          <w:szCs w:val="22"/>
        </w:rPr>
      </w:pPr>
      <w:r>
        <w:rPr>
          <w:sz w:val="22"/>
          <w:szCs w:val="22"/>
        </w:rPr>
        <w:t xml:space="preserve">Según la tabla anterior entre 2022 y 2025, se </w:t>
      </w:r>
      <w:r w:rsidR="0043135B">
        <w:rPr>
          <w:sz w:val="22"/>
          <w:szCs w:val="22"/>
        </w:rPr>
        <w:t>observa una</w:t>
      </w:r>
      <w:r>
        <w:rPr>
          <w:sz w:val="22"/>
          <w:szCs w:val="22"/>
        </w:rPr>
        <w:t xml:space="preserve"> reducción progresiva de los giros presupuestales y una caída significativa en el monto de giros presupuestales, especialmente en 2025, donde el porcentaje de giro se reduce al 26%. Esto sugiere una posible subejecución o reprogramación de recursos, lo que podría reflejar problemas en la planeación, contratación e implementación de proyectos de inversión en seguridad.</w:t>
      </w:r>
    </w:p>
    <w:p w:rsidR="00743DA6" w:rsidRDefault="00D95D19">
      <w:pPr>
        <w:spacing w:before="240" w:after="240" w:line="276" w:lineRule="auto"/>
        <w:ind w:right="62"/>
        <w:jc w:val="both"/>
        <w:rPr>
          <w:sz w:val="22"/>
          <w:szCs w:val="22"/>
        </w:rPr>
      </w:pPr>
      <w:r>
        <w:rPr>
          <w:sz w:val="22"/>
          <w:szCs w:val="22"/>
        </w:rPr>
        <w:t>Así mismo la ejecución a nivel de compromisos para la SDSCJ se mantuvo alta entre 2022 y 2024 (94%, 93% y 97%, respectivamente). Sin embargo, en 2025, la ejecución con fecha de corte al 30 de octubre fue de solo 61%, lo que indica un retraso considerable en la implementación de proyectos.</w:t>
      </w:r>
    </w:p>
    <w:p w:rsidR="00743DA6" w:rsidRDefault="00D95D19">
      <w:pPr>
        <w:spacing w:before="240" w:after="240" w:line="276" w:lineRule="auto"/>
        <w:ind w:right="62"/>
        <w:jc w:val="both"/>
        <w:rPr>
          <w:sz w:val="22"/>
          <w:szCs w:val="22"/>
        </w:rPr>
      </w:pPr>
      <w:r>
        <w:rPr>
          <w:sz w:val="22"/>
          <w:szCs w:val="22"/>
        </w:rPr>
        <w:t xml:space="preserve">Aunque el histórico presupuestal desde el 2022  al 2024 del sector seguridad demuestra que ha ejecutado eficientemente sus recursos, la baja ejecución en 2025  estaría relacionada con la reducción en los giros, lo que afecta directamente la capacidad de respuesta frente a las necesidades de seguridad ciudadana. </w:t>
      </w:r>
    </w:p>
    <w:p w:rsidR="00743DA6" w:rsidRDefault="00D95D19">
      <w:pPr>
        <w:jc w:val="both"/>
        <w:rPr>
          <w:b/>
          <w:bCs/>
          <w:sz w:val="22"/>
          <w:szCs w:val="22"/>
          <w:highlight w:val="white"/>
        </w:rPr>
      </w:pPr>
      <w:r>
        <w:rPr>
          <w:b/>
          <w:bCs/>
          <w:sz w:val="22"/>
          <w:szCs w:val="22"/>
        </w:rPr>
        <w:t>Unidad Administrativa Especial Cuerpo Oficial de Bomberos de Bogotá</w:t>
      </w:r>
      <w:r>
        <w:rPr>
          <w:b/>
          <w:bCs/>
          <w:sz w:val="22"/>
          <w:szCs w:val="22"/>
          <w:highlight w:val="white"/>
        </w:rPr>
        <w:t xml:space="preserve"> </w:t>
      </w:r>
    </w:p>
    <w:p w:rsidR="00743DA6" w:rsidRDefault="00743DA6">
      <w:pPr>
        <w:jc w:val="both"/>
        <w:rPr>
          <w:b/>
          <w:bCs/>
          <w:sz w:val="25"/>
          <w:szCs w:val="25"/>
          <w:highlight w:val="white"/>
        </w:rPr>
      </w:pPr>
    </w:p>
    <w:p w:rsidR="00743DA6" w:rsidRDefault="00D95D19">
      <w:pPr>
        <w:ind w:right="62"/>
        <w:jc w:val="center"/>
        <w:rPr>
          <w:sz w:val="22"/>
          <w:szCs w:val="22"/>
        </w:rPr>
      </w:pPr>
      <w:r>
        <w:rPr>
          <w:sz w:val="25"/>
          <w:szCs w:val="25"/>
          <w:highlight w:val="white"/>
        </w:rPr>
        <w:t xml:space="preserve">Gráfica 2: Histórico presupuestal UAECOB 2022-2026 </w:t>
      </w:r>
    </w:p>
    <w:p w:rsidR="00743DA6" w:rsidRDefault="00D95D19">
      <w:pPr>
        <w:spacing w:line="276" w:lineRule="auto"/>
        <w:ind w:right="62"/>
        <w:rPr>
          <w:sz w:val="22"/>
          <w:szCs w:val="22"/>
        </w:rPr>
      </w:pPr>
      <w:r>
        <w:rPr>
          <w:noProof/>
          <w:sz w:val="22"/>
          <w:szCs w:val="22"/>
          <w:lang w:val="es-CO"/>
        </w:rPr>
        <w:drawing>
          <wp:inline distT="114300" distB="114300" distL="114300" distR="114300">
            <wp:extent cx="5612130" cy="2717800"/>
            <wp:effectExtent l="0" t="0" r="0" b="0"/>
            <wp:docPr id="2127399625"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6"/>
                    <a:srcRect/>
                    <a:stretch>
                      <a:fillRect/>
                    </a:stretch>
                  </pic:blipFill>
                  <pic:spPr>
                    <a:xfrm>
                      <a:off x="0" y="0"/>
                      <a:ext cx="5612130" cy="2717800"/>
                    </a:xfrm>
                    <a:prstGeom prst="rect">
                      <a:avLst/>
                    </a:prstGeom>
                    <a:ln/>
                  </pic:spPr>
                </pic:pic>
              </a:graphicData>
            </a:graphic>
          </wp:inline>
        </w:drawing>
      </w:r>
    </w:p>
    <w:p w:rsidR="00743DA6" w:rsidRDefault="00D95D19">
      <w:pPr>
        <w:spacing w:line="276" w:lineRule="auto"/>
        <w:ind w:right="62"/>
        <w:jc w:val="center"/>
        <w:rPr>
          <w:sz w:val="18"/>
          <w:szCs w:val="18"/>
        </w:rPr>
      </w:pPr>
      <w:r>
        <w:rPr>
          <w:sz w:val="18"/>
          <w:szCs w:val="18"/>
        </w:rPr>
        <w:t>Fuente: Elaboración propia (2025) con base en la información suministrada por parte de la SDH: Comparativo presupuesto anual por entidades 2022-2026</w:t>
      </w:r>
    </w:p>
    <w:p w:rsidR="00743DA6" w:rsidRDefault="00743DA6">
      <w:pPr>
        <w:spacing w:line="276" w:lineRule="auto"/>
        <w:ind w:right="62"/>
        <w:jc w:val="center"/>
        <w:rPr>
          <w:sz w:val="18"/>
          <w:szCs w:val="18"/>
        </w:rPr>
      </w:pPr>
    </w:p>
    <w:p w:rsidR="00743DA6" w:rsidRDefault="00D95D19">
      <w:pPr>
        <w:spacing w:line="276" w:lineRule="auto"/>
        <w:ind w:right="62"/>
        <w:jc w:val="both"/>
        <w:rPr>
          <w:sz w:val="22"/>
          <w:szCs w:val="22"/>
        </w:rPr>
      </w:pPr>
      <w:r>
        <w:rPr>
          <w:sz w:val="22"/>
          <w:szCs w:val="22"/>
        </w:rPr>
        <w:t>Para el caso de la Unidad Administrativa Especial Cuerpo Oficial de Bomberos de Bogotá, el proyecto de presupuesto 2026 cuenta con un total de $195.932 millones, y presenta un crecimiento mínimo del 0,55% frente a 2025, lo que evidencia una alerta preocupante en la capacidad de respuesta ante emergencias. Si bien el gasto en funcionamiento aumenta ligeramente (1%), la inversión sufre una reducción del 0,26%, afectando específicamente proyectos clave como la modernización y el fortalecimiento de capacidades operativas, el cual registra un recorte del -7,6% (-$4.900 millones). Esta contracción en la inversión limita la adquisición de equipos, la formación del personal y la innovación tecnológica, debilitando la preparación de la entidad para enfrentar desastres y proteger a la ciudadanía, una situación que requiere urgente revisión para priorizar la seguridad y la gestión del riesgo en la capital.</w:t>
      </w:r>
    </w:p>
    <w:p w:rsidR="00743DA6" w:rsidRDefault="00743DA6">
      <w:pPr>
        <w:spacing w:line="276" w:lineRule="auto"/>
        <w:ind w:right="62"/>
        <w:jc w:val="both"/>
        <w:rPr>
          <w:sz w:val="22"/>
          <w:szCs w:val="22"/>
        </w:rPr>
      </w:pPr>
    </w:p>
    <w:p w:rsidR="00743DA6" w:rsidRDefault="00D95D19">
      <w:pPr>
        <w:spacing w:line="276" w:lineRule="auto"/>
        <w:ind w:right="62"/>
        <w:jc w:val="both"/>
        <w:rPr>
          <w:sz w:val="22"/>
          <w:szCs w:val="22"/>
        </w:rPr>
      </w:pPr>
      <w:r>
        <w:rPr>
          <w:sz w:val="22"/>
          <w:szCs w:val="22"/>
        </w:rPr>
        <w:t>La gráfica del histórico presupuestal 2022-2026 evidencia un pico de incremento presupuestal en la UAECOB en el año 2025 que se correlaciona con el aumento en Secretaría de Seguridad, pero esto mismo  contrasta con la caída notoria en los montos asignados a compromisos. Esto implicaría que, aunque las entidades tuvieron una inyección de recursos alta para inversión directa para el 2025, los compromisos y por tanto la ejecución quedaron rezagados evidenciando una contradicción entre presupuesto asignado y ejecución de la entidad. De otro lado, también es notorio que el año 2024 para ambas entidades fue el año en el que más equilibrio se evidencia entre monto de presupuesto inicial y compromisos.</w:t>
      </w:r>
    </w:p>
    <w:p w:rsidR="00743DA6" w:rsidRDefault="00D95D19">
      <w:pPr>
        <w:spacing w:before="240" w:after="240" w:line="276" w:lineRule="auto"/>
        <w:ind w:right="62"/>
        <w:jc w:val="both"/>
        <w:rPr>
          <w:b/>
          <w:bCs/>
          <w:sz w:val="22"/>
          <w:szCs w:val="22"/>
        </w:rPr>
      </w:pPr>
      <w:r>
        <w:rPr>
          <w:b/>
          <w:bCs/>
          <w:sz w:val="22"/>
          <w:szCs w:val="22"/>
        </w:rPr>
        <w:t>Análisis  de hallazgos y Alertas</w:t>
      </w:r>
    </w:p>
    <w:p w:rsidR="00743DA6" w:rsidRDefault="00D95D19">
      <w:pPr>
        <w:spacing w:before="240" w:after="240" w:line="276" w:lineRule="auto"/>
        <w:ind w:right="62"/>
        <w:rPr>
          <w:sz w:val="22"/>
          <w:szCs w:val="22"/>
        </w:rPr>
      </w:pPr>
      <w:r>
        <w:rPr>
          <w:b/>
          <w:bCs/>
          <w:sz w:val="22"/>
          <w:szCs w:val="22"/>
        </w:rPr>
        <w:t>Un Presupuesto Desequilibrado y con Graves Riesgos</w:t>
      </w:r>
    </w:p>
    <w:p w:rsidR="00743DA6" w:rsidRDefault="00D95D19">
      <w:pPr>
        <w:spacing w:before="240" w:after="240" w:line="276" w:lineRule="auto"/>
        <w:ind w:right="62"/>
        <w:jc w:val="both"/>
        <w:rPr>
          <w:sz w:val="22"/>
          <w:szCs w:val="22"/>
        </w:rPr>
      </w:pPr>
      <w:r>
        <w:rPr>
          <w:sz w:val="22"/>
          <w:szCs w:val="22"/>
        </w:rPr>
        <w:t xml:space="preserve">A continuación se muestra la relación entre presupuesto 2025-2026 a nivel de compromiso y giro por proyecto de inversión del sector seguridad </w:t>
      </w:r>
    </w:p>
    <w:p w:rsidR="00743DA6" w:rsidRDefault="00D95D19">
      <w:pPr>
        <w:widowControl w:val="0"/>
        <w:spacing w:before="240" w:after="240" w:line="276" w:lineRule="auto"/>
        <w:ind w:right="62"/>
        <w:jc w:val="center"/>
        <w:rPr>
          <w:sz w:val="26"/>
          <w:szCs w:val="26"/>
        </w:rPr>
      </w:pPr>
      <w:r>
        <w:rPr>
          <w:sz w:val="22"/>
          <w:szCs w:val="22"/>
        </w:rPr>
        <w:t xml:space="preserve">Tabla 11 : Comparativo 2025-2026 por proyecto de inversión SDSCJ </w:t>
      </w:r>
    </w:p>
    <w:tbl>
      <w:tblPr>
        <w:tblStyle w:val="afffff7"/>
        <w:tblW w:w="8805" w:type="dxa"/>
        <w:tblLayout w:type="fixed"/>
        <w:tblLook w:val="0600" w:firstRow="0" w:lastRow="0" w:firstColumn="0" w:lastColumn="0" w:noHBand="1" w:noVBand="1"/>
      </w:tblPr>
      <w:tblGrid>
        <w:gridCol w:w="2550"/>
        <w:gridCol w:w="1365"/>
        <w:gridCol w:w="1365"/>
        <w:gridCol w:w="1365"/>
        <w:gridCol w:w="1365"/>
        <w:gridCol w:w="795"/>
      </w:tblGrid>
      <w:tr w:rsidR="00743DA6">
        <w:trPr>
          <w:trHeight w:val="56"/>
        </w:trPr>
        <w:tc>
          <w:tcPr>
            <w:tcW w:w="2550" w:type="dxa"/>
            <w:tcBorders>
              <w:top w:val="single" w:sz="5" w:space="0" w:color="000000"/>
              <w:left w:val="single" w:sz="5" w:space="0" w:color="000000"/>
              <w:bottom w:val="single" w:sz="5" w:space="0" w:color="000000"/>
              <w:right w:val="single" w:sz="5" w:space="0" w:color="000000"/>
            </w:tcBorders>
            <w:shd w:val="clear" w:color="auto" w:fill="CCCCCC"/>
            <w:tcMar>
              <w:top w:w="-56" w:type="dxa"/>
              <w:left w:w="-56" w:type="dxa"/>
              <w:bottom w:w="-56" w:type="dxa"/>
              <w:right w:w="-56" w:type="dxa"/>
            </w:tcMar>
          </w:tcPr>
          <w:p w:rsidR="00743DA6" w:rsidRDefault="00D95D19">
            <w:pPr>
              <w:spacing w:before="240" w:after="240"/>
              <w:ind w:right="62"/>
              <w:jc w:val="both"/>
              <w:rPr>
                <w:sz w:val="18"/>
                <w:szCs w:val="18"/>
                <w:shd w:val="clear" w:color="auto" w:fill="CCCCCC"/>
              </w:rPr>
            </w:pPr>
            <w:r>
              <w:rPr>
                <w:sz w:val="16"/>
                <w:szCs w:val="16"/>
                <w:shd w:val="clear" w:color="auto" w:fill="CCCCCC"/>
              </w:rPr>
              <w:t>PROYECTO DE INVERSIÓN SECTOR SEGURIDAD</w:t>
            </w:r>
          </w:p>
        </w:tc>
        <w:tc>
          <w:tcPr>
            <w:tcW w:w="1365" w:type="dxa"/>
            <w:tcBorders>
              <w:top w:val="single" w:sz="5" w:space="0" w:color="000000"/>
              <w:left w:val="single" w:sz="5" w:space="0" w:color="000000"/>
              <w:bottom w:val="single" w:sz="5" w:space="0" w:color="000000"/>
              <w:right w:val="single" w:sz="5" w:space="0" w:color="000000"/>
            </w:tcBorders>
            <w:shd w:val="clear" w:color="auto" w:fill="CCCCCC"/>
            <w:tcMar>
              <w:top w:w="-56" w:type="dxa"/>
              <w:left w:w="-56" w:type="dxa"/>
              <w:bottom w:w="-56" w:type="dxa"/>
              <w:right w:w="-56" w:type="dxa"/>
            </w:tcMar>
          </w:tcPr>
          <w:p w:rsidR="00743DA6" w:rsidRDefault="00D95D19">
            <w:pPr>
              <w:spacing w:before="240" w:after="240"/>
              <w:ind w:right="62"/>
              <w:jc w:val="both"/>
              <w:rPr>
                <w:sz w:val="18"/>
                <w:szCs w:val="18"/>
                <w:shd w:val="clear" w:color="auto" w:fill="CCCCCC"/>
              </w:rPr>
            </w:pPr>
            <w:r>
              <w:rPr>
                <w:sz w:val="16"/>
                <w:szCs w:val="16"/>
                <w:shd w:val="clear" w:color="auto" w:fill="CCCCCC"/>
              </w:rPr>
              <w:t>Programado 2025</w:t>
            </w:r>
          </w:p>
        </w:tc>
        <w:tc>
          <w:tcPr>
            <w:tcW w:w="1365" w:type="dxa"/>
            <w:tcBorders>
              <w:top w:val="single" w:sz="5" w:space="0" w:color="000000"/>
              <w:left w:val="single" w:sz="5" w:space="0" w:color="000000"/>
              <w:bottom w:val="single" w:sz="5" w:space="0" w:color="000000"/>
              <w:right w:val="single" w:sz="5" w:space="0" w:color="000000"/>
            </w:tcBorders>
            <w:shd w:val="clear" w:color="auto" w:fill="CCCCCC"/>
            <w:tcMar>
              <w:top w:w="-56" w:type="dxa"/>
              <w:left w:w="-56" w:type="dxa"/>
              <w:bottom w:w="-56" w:type="dxa"/>
              <w:right w:w="-56" w:type="dxa"/>
            </w:tcMar>
          </w:tcPr>
          <w:p w:rsidR="00743DA6" w:rsidRDefault="00D95D19">
            <w:pPr>
              <w:spacing w:before="240" w:after="240"/>
              <w:ind w:right="62"/>
              <w:jc w:val="both"/>
              <w:rPr>
                <w:sz w:val="18"/>
                <w:szCs w:val="18"/>
                <w:shd w:val="clear" w:color="auto" w:fill="CCCCCC"/>
              </w:rPr>
            </w:pPr>
            <w:r>
              <w:rPr>
                <w:sz w:val="16"/>
                <w:szCs w:val="16"/>
                <w:shd w:val="clear" w:color="auto" w:fill="CCCCCC"/>
              </w:rPr>
              <w:t>COMPROMISOS 2025</w:t>
            </w:r>
          </w:p>
        </w:tc>
        <w:tc>
          <w:tcPr>
            <w:tcW w:w="1365" w:type="dxa"/>
            <w:tcBorders>
              <w:top w:val="single" w:sz="5" w:space="0" w:color="000000"/>
              <w:left w:val="single" w:sz="5" w:space="0" w:color="000000"/>
              <w:bottom w:val="single" w:sz="5" w:space="0" w:color="000000"/>
              <w:right w:val="single" w:sz="5" w:space="0" w:color="000000"/>
            </w:tcBorders>
            <w:shd w:val="clear" w:color="auto" w:fill="CCCCCC"/>
            <w:tcMar>
              <w:top w:w="-56" w:type="dxa"/>
              <w:left w:w="-56" w:type="dxa"/>
              <w:bottom w:w="-56" w:type="dxa"/>
              <w:right w:w="-56" w:type="dxa"/>
            </w:tcMar>
          </w:tcPr>
          <w:p w:rsidR="00743DA6" w:rsidRDefault="00D95D19">
            <w:pPr>
              <w:spacing w:before="240" w:after="240"/>
              <w:ind w:right="62"/>
              <w:jc w:val="both"/>
              <w:rPr>
                <w:sz w:val="18"/>
                <w:szCs w:val="18"/>
                <w:shd w:val="clear" w:color="auto" w:fill="CCCCCC"/>
              </w:rPr>
            </w:pPr>
            <w:r>
              <w:rPr>
                <w:sz w:val="16"/>
                <w:szCs w:val="16"/>
                <w:shd w:val="clear" w:color="auto" w:fill="CCCCCC"/>
              </w:rPr>
              <w:t xml:space="preserve">GIROS 2025 </w:t>
            </w:r>
          </w:p>
        </w:tc>
        <w:tc>
          <w:tcPr>
            <w:tcW w:w="1365" w:type="dxa"/>
            <w:tcBorders>
              <w:top w:val="single" w:sz="5" w:space="0" w:color="000000"/>
              <w:left w:val="single" w:sz="5" w:space="0" w:color="000000"/>
              <w:bottom w:val="single" w:sz="5" w:space="0" w:color="000000"/>
              <w:right w:val="single" w:sz="5" w:space="0" w:color="000000"/>
            </w:tcBorders>
            <w:shd w:val="clear" w:color="auto" w:fill="CCCCCC"/>
            <w:tcMar>
              <w:top w:w="-56" w:type="dxa"/>
              <w:left w:w="-56" w:type="dxa"/>
              <w:bottom w:w="-56" w:type="dxa"/>
              <w:right w:w="-56" w:type="dxa"/>
            </w:tcMar>
          </w:tcPr>
          <w:p w:rsidR="00743DA6" w:rsidRDefault="00D95D19">
            <w:pPr>
              <w:spacing w:before="240" w:after="240"/>
              <w:ind w:right="62"/>
              <w:jc w:val="both"/>
              <w:rPr>
                <w:sz w:val="18"/>
                <w:szCs w:val="18"/>
                <w:shd w:val="clear" w:color="auto" w:fill="CCCCCC"/>
              </w:rPr>
            </w:pPr>
            <w:r>
              <w:rPr>
                <w:sz w:val="16"/>
                <w:szCs w:val="16"/>
                <w:shd w:val="clear" w:color="auto" w:fill="CCCCCC"/>
              </w:rPr>
              <w:t>Programado 2026</w:t>
            </w:r>
          </w:p>
        </w:tc>
        <w:tc>
          <w:tcPr>
            <w:tcW w:w="795" w:type="dxa"/>
            <w:tcBorders>
              <w:top w:val="single" w:sz="5" w:space="0" w:color="000000"/>
              <w:left w:val="single" w:sz="5" w:space="0" w:color="000000"/>
              <w:bottom w:val="single" w:sz="5" w:space="0" w:color="000000"/>
              <w:right w:val="single" w:sz="5" w:space="0" w:color="000000"/>
            </w:tcBorders>
            <w:shd w:val="clear" w:color="auto" w:fill="CCCCCC"/>
            <w:tcMar>
              <w:top w:w="-56" w:type="dxa"/>
              <w:left w:w="-56" w:type="dxa"/>
              <w:bottom w:w="-56" w:type="dxa"/>
              <w:right w:w="-56" w:type="dxa"/>
            </w:tcMar>
          </w:tcPr>
          <w:p w:rsidR="00743DA6" w:rsidRDefault="00D95D19">
            <w:pPr>
              <w:spacing w:before="240" w:after="240"/>
              <w:ind w:right="62"/>
              <w:jc w:val="both"/>
              <w:rPr>
                <w:sz w:val="18"/>
                <w:szCs w:val="18"/>
                <w:shd w:val="clear" w:color="auto" w:fill="CCCCCC"/>
              </w:rPr>
            </w:pPr>
            <w:r>
              <w:rPr>
                <w:sz w:val="16"/>
                <w:szCs w:val="16"/>
                <w:shd w:val="clear" w:color="auto" w:fill="CCCCCC"/>
              </w:rPr>
              <w:t>Programado</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 xml:space="preserve">8233. </w:t>
            </w:r>
          </w:p>
          <w:p w:rsidR="00743DA6" w:rsidRDefault="00D95D19">
            <w:pPr>
              <w:spacing w:before="240" w:after="240"/>
              <w:ind w:right="62"/>
              <w:jc w:val="both"/>
              <w:rPr>
                <w:sz w:val="18"/>
                <w:szCs w:val="18"/>
              </w:rPr>
            </w:pPr>
            <w:r>
              <w:rPr>
                <w:sz w:val="16"/>
                <w:szCs w:val="16"/>
              </w:rPr>
              <w:t>Ampliación de equipamientos de justicia con enfoque territorial para la garantía y protección de derechos en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$91.446</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$ 6.455</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$ 1.199</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60.739</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30.708</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8214. Fortalecimiento de las capacidades del Sistema de operación y Tecnológico del C4 en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$125.998</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$ 93.489</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$ 42.646</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$ 101.380</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-$ 24.618</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8177. Fortalecimiento de capacidades operativas de vigilancia policial, funciones militares y otras de apoyo a la seguridad, la convivencia y la justicia en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$272.967</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$ 148.655</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$ 49.323</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$ 257.145</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-$ 15.822</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 xml:space="preserve">8173. </w:t>
            </w:r>
          </w:p>
          <w:p w:rsidR="00743DA6" w:rsidRDefault="00D95D19">
            <w:pPr>
              <w:spacing w:before="240" w:after="240"/>
              <w:ind w:right="62"/>
              <w:jc w:val="both"/>
              <w:rPr>
                <w:sz w:val="18"/>
                <w:szCs w:val="18"/>
              </w:rPr>
            </w:pPr>
            <w:r>
              <w:rPr>
                <w:sz w:val="16"/>
                <w:szCs w:val="16"/>
              </w:rPr>
              <w:t>Modernización de las capacidades del Cuerpo Oficial de Bomberos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$47.691</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$ 26.262</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$ 10.145</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42.767</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-$ 4.924</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8226.</w:t>
            </w:r>
          </w:p>
          <w:p w:rsidR="00743DA6" w:rsidRDefault="00D95D19">
            <w:pPr>
              <w:spacing w:before="240" w:after="240"/>
              <w:ind w:right="62"/>
              <w:jc w:val="both"/>
              <w:rPr>
                <w:sz w:val="18"/>
                <w:szCs w:val="18"/>
              </w:rPr>
            </w:pPr>
            <w:r>
              <w:rPr>
                <w:sz w:val="16"/>
                <w:szCs w:val="16"/>
              </w:rPr>
              <w:t>Modernización del Sistema Distrital de Justicia para el establecimiento de servicios funcionales de acceso a la justicia y de resolución de conflictos en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$15.472</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$ 11.474</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$4.322</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$ 14.756</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-$ 716</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8227.</w:t>
            </w:r>
          </w:p>
          <w:p w:rsidR="00743DA6" w:rsidRDefault="00D95D19">
            <w:pPr>
              <w:spacing w:before="240" w:after="240"/>
              <w:ind w:right="62"/>
              <w:jc w:val="both"/>
              <w:rPr>
                <w:sz w:val="18"/>
                <w:szCs w:val="18"/>
              </w:rPr>
            </w:pPr>
            <w:r>
              <w:rPr>
                <w:sz w:val="16"/>
                <w:szCs w:val="16"/>
              </w:rPr>
              <w:t>Desarrollo de un sistema de información integrado y de gestión del conocimiento para el análisis estratégico en el Sector Seguridad, Convivencia y Justicia en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$ 1.252</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$ 1.141</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$ 453</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$ 1.070</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-$ 182</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8180.</w:t>
            </w:r>
          </w:p>
          <w:p w:rsidR="00743DA6" w:rsidRDefault="00D95D19">
            <w:pPr>
              <w:spacing w:before="240" w:after="240"/>
              <w:ind w:right="62"/>
              <w:jc w:val="both"/>
              <w:rPr>
                <w:sz w:val="18"/>
                <w:szCs w:val="18"/>
              </w:rPr>
            </w:pPr>
            <w:r>
              <w:rPr>
                <w:sz w:val="16"/>
                <w:szCs w:val="16"/>
              </w:rPr>
              <w:t>Fortalecimiento de la Gestión Integral de la Seguridad en la Región Metropolitana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$4.968</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$ 4.745</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$ 2.245</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$ 5.063</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$94</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8189.</w:t>
            </w:r>
          </w:p>
          <w:p w:rsidR="00743DA6" w:rsidRDefault="00D95D19">
            <w:pPr>
              <w:spacing w:before="240" w:after="240"/>
              <w:ind w:right="62"/>
              <w:jc w:val="both"/>
              <w:rPr>
                <w:sz w:val="18"/>
                <w:szCs w:val="18"/>
              </w:rPr>
            </w:pPr>
            <w:r>
              <w:rPr>
                <w:sz w:val="16"/>
                <w:szCs w:val="16"/>
              </w:rPr>
              <w:t>Recuperación de la seguridad de los entornos comerciales, industriales y residenciales a partir de la articulación de esfuerzos de seguridad pública en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$12.941</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$ 11.989</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$5.470</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$ 13.732</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$ 790</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8224.</w:t>
            </w:r>
          </w:p>
          <w:p w:rsidR="00743DA6" w:rsidRDefault="00D95D19">
            <w:pPr>
              <w:spacing w:before="240" w:after="240"/>
              <w:ind w:right="62"/>
              <w:jc w:val="both"/>
              <w:rPr>
                <w:sz w:val="18"/>
                <w:szCs w:val="18"/>
              </w:rPr>
            </w:pPr>
            <w:r>
              <w:rPr>
                <w:sz w:val="16"/>
                <w:szCs w:val="16"/>
              </w:rPr>
              <w:t>Desarrollo de las Estrategias para la Implementación del Sistema Distrital de Apropiación del Código Nacional de Seguridad y Convivencia Ciudadana en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$ 4.719</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4.013</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$2.025</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$ 6.433</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$ 1.714</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8126.</w:t>
            </w:r>
          </w:p>
          <w:p w:rsidR="00743DA6" w:rsidRDefault="00D95D19">
            <w:pPr>
              <w:spacing w:before="240" w:after="240"/>
              <w:ind w:right="62"/>
              <w:jc w:val="both"/>
              <w:rPr>
                <w:sz w:val="18"/>
                <w:szCs w:val="18"/>
              </w:rPr>
            </w:pPr>
            <w:r>
              <w:rPr>
                <w:sz w:val="16"/>
                <w:szCs w:val="16"/>
              </w:rPr>
              <w:t>Fortalecimiento institucional de la UAECOB para un gobierno confiable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$ 22.583</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$ 18.484</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$10.944</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$ 25.167</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$ 2.585</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8231.</w:t>
            </w:r>
          </w:p>
          <w:p w:rsidR="00743DA6" w:rsidRDefault="00D95D19">
            <w:pPr>
              <w:spacing w:before="240" w:after="240"/>
              <w:ind w:right="62"/>
              <w:jc w:val="both"/>
              <w:rPr>
                <w:sz w:val="18"/>
                <w:szCs w:val="18"/>
              </w:rPr>
            </w:pPr>
            <w:r>
              <w:rPr>
                <w:sz w:val="16"/>
                <w:szCs w:val="16"/>
              </w:rPr>
              <w:t>Ampliación de las capacidades del Programa Distrital de Justicia Juvenil Restaurativa en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$17.993</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$ 14.379</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$ 7.248</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$ 24.382</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$6.389</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8230.</w:t>
            </w:r>
          </w:p>
          <w:p w:rsidR="00743DA6" w:rsidRDefault="00D95D19">
            <w:pPr>
              <w:spacing w:before="240" w:after="240"/>
              <w:ind w:right="62"/>
              <w:jc w:val="both"/>
              <w:rPr>
                <w:sz w:val="18"/>
                <w:szCs w:val="18"/>
              </w:rPr>
            </w:pPr>
            <w:r>
              <w:rPr>
                <w:sz w:val="16"/>
                <w:szCs w:val="16"/>
              </w:rPr>
              <w:t>Fortalecimiento de la Gestión Administrativa y Operativa de la Secretaría Distrital de Seguridad, Convivencia y Justicia en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$ 66.955</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$ 51.299</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$29.910</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$ 78.451</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$ 11.495</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8229.</w:t>
            </w:r>
          </w:p>
          <w:p w:rsidR="00743DA6" w:rsidRDefault="00D95D19">
            <w:pPr>
              <w:spacing w:before="240" w:after="240"/>
              <w:ind w:right="62"/>
              <w:jc w:val="both"/>
              <w:rPr>
                <w:sz w:val="18"/>
                <w:szCs w:val="18"/>
              </w:rPr>
            </w:pPr>
            <w:r>
              <w:rPr>
                <w:sz w:val="16"/>
                <w:szCs w:val="16"/>
              </w:rPr>
              <w:t>Fortalecimiento del pie de fuerza policial y de la gestión territorial para la Convivencia y Seguridad en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$ 55.786</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$ 9.410</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$ 3.933</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90.330</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$34.544</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6"/>
                <w:szCs w:val="16"/>
              </w:rPr>
            </w:pPr>
            <w:r>
              <w:rPr>
                <w:sz w:val="16"/>
                <w:szCs w:val="16"/>
              </w:rPr>
              <w:t>8234.</w:t>
            </w:r>
          </w:p>
          <w:p w:rsidR="00743DA6" w:rsidRDefault="00D95D19">
            <w:pPr>
              <w:spacing w:before="240" w:after="240"/>
              <w:ind w:right="62"/>
              <w:jc w:val="both"/>
              <w:rPr>
                <w:sz w:val="18"/>
                <w:szCs w:val="18"/>
              </w:rPr>
            </w:pPr>
            <w:r>
              <w:rPr>
                <w:sz w:val="16"/>
                <w:szCs w:val="16"/>
              </w:rPr>
              <w:t>Implementación de un modelo de gestión carcelario y de detención con enfoque restaurativo para la población privada de la libertad y pospenada en Bogotá D.C.</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$ 71.306</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$ 58.751</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$6.694</w:t>
            </w:r>
          </w:p>
        </w:tc>
        <w:tc>
          <w:tcPr>
            <w:tcW w:w="136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$ 110.108</w:t>
            </w:r>
          </w:p>
        </w:tc>
        <w:tc>
          <w:tcPr>
            <w:tcW w:w="795" w:type="dxa"/>
            <w:tcBorders>
              <w:top w:val="single" w:sz="5" w:space="0" w:color="000000"/>
              <w:left w:val="single" w:sz="5" w:space="0" w:color="000000"/>
              <w:bottom w:val="single" w:sz="5" w:space="0" w:color="000000"/>
              <w:right w:val="single" w:sz="5" w:space="0" w:color="000000"/>
            </w:tcBorders>
            <w:tcMar>
              <w:top w:w="-56" w:type="dxa"/>
              <w:left w:w="-56" w:type="dxa"/>
              <w:bottom w:w="-56" w:type="dxa"/>
              <w:right w:w="-56" w:type="dxa"/>
            </w:tcMar>
          </w:tcPr>
          <w:p w:rsidR="00743DA6" w:rsidRDefault="00D95D19">
            <w:pPr>
              <w:spacing w:before="240" w:after="240"/>
              <w:ind w:right="62"/>
              <w:jc w:val="both"/>
              <w:rPr>
                <w:sz w:val="18"/>
                <w:szCs w:val="18"/>
              </w:rPr>
            </w:pPr>
            <w:r>
              <w:rPr>
                <w:sz w:val="16"/>
                <w:szCs w:val="16"/>
              </w:rPr>
              <w:t xml:space="preserve"> $38.802</w:t>
            </w:r>
          </w:p>
        </w:tc>
      </w:tr>
      <w:tr w:rsidR="00743DA6">
        <w:trPr>
          <w:trHeight w:val="56"/>
        </w:trPr>
        <w:tc>
          <w:tcPr>
            <w:tcW w:w="2550" w:type="dxa"/>
            <w:tcBorders>
              <w:top w:val="single" w:sz="5" w:space="0" w:color="000000"/>
              <w:left w:val="single" w:sz="5" w:space="0" w:color="000000"/>
              <w:bottom w:val="single" w:sz="5" w:space="0" w:color="000000"/>
              <w:right w:val="single" w:sz="5" w:space="0" w:color="000000"/>
            </w:tcBorders>
            <w:shd w:val="clear" w:color="auto" w:fill="D9D9D9"/>
            <w:tcMar>
              <w:top w:w="-56" w:type="dxa"/>
              <w:left w:w="-56" w:type="dxa"/>
              <w:bottom w:w="-56" w:type="dxa"/>
              <w:right w:w="-56" w:type="dxa"/>
            </w:tcMar>
          </w:tcPr>
          <w:p w:rsidR="00743DA6" w:rsidRDefault="00D95D19">
            <w:pPr>
              <w:spacing w:before="240" w:after="240"/>
              <w:ind w:right="62"/>
              <w:jc w:val="both"/>
              <w:rPr>
                <w:b/>
                <w:bCs/>
                <w:sz w:val="18"/>
                <w:szCs w:val="18"/>
              </w:rPr>
            </w:pPr>
            <w:r>
              <w:rPr>
                <w:b/>
                <w:bCs/>
                <w:sz w:val="16"/>
                <w:szCs w:val="16"/>
              </w:rPr>
              <w:t>Total general</w:t>
            </w:r>
          </w:p>
        </w:tc>
        <w:tc>
          <w:tcPr>
            <w:tcW w:w="1365" w:type="dxa"/>
            <w:tcBorders>
              <w:top w:val="single" w:sz="5" w:space="0" w:color="000000"/>
              <w:left w:val="single" w:sz="5" w:space="0" w:color="000000"/>
              <w:bottom w:val="single" w:sz="5" w:space="0" w:color="000000"/>
              <w:right w:val="single" w:sz="5" w:space="0" w:color="000000"/>
            </w:tcBorders>
            <w:shd w:val="clear" w:color="auto" w:fill="D9D9D9"/>
            <w:tcMar>
              <w:top w:w="-56" w:type="dxa"/>
              <w:left w:w="-56" w:type="dxa"/>
              <w:bottom w:w="-56" w:type="dxa"/>
              <w:right w:w="-56" w:type="dxa"/>
            </w:tcMar>
          </w:tcPr>
          <w:p w:rsidR="00743DA6" w:rsidRDefault="00D95D19">
            <w:pPr>
              <w:spacing w:before="240" w:after="240"/>
              <w:ind w:right="62"/>
              <w:jc w:val="both"/>
              <w:rPr>
                <w:b/>
                <w:bCs/>
                <w:sz w:val="18"/>
                <w:szCs w:val="18"/>
              </w:rPr>
            </w:pPr>
            <w:r>
              <w:rPr>
                <w:b/>
                <w:bCs/>
                <w:sz w:val="16"/>
                <w:szCs w:val="16"/>
              </w:rPr>
              <w:t>$812.077</w:t>
            </w:r>
          </w:p>
        </w:tc>
        <w:tc>
          <w:tcPr>
            <w:tcW w:w="1365" w:type="dxa"/>
            <w:tcBorders>
              <w:top w:val="single" w:sz="5" w:space="0" w:color="000000"/>
              <w:left w:val="single" w:sz="5" w:space="0" w:color="000000"/>
              <w:bottom w:val="single" w:sz="5" w:space="0" w:color="000000"/>
              <w:right w:val="single" w:sz="5" w:space="0" w:color="000000"/>
            </w:tcBorders>
            <w:shd w:val="clear" w:color="auto" w:fill="D9D9D9"/>
            <w:tcMar>
              <w:top w:w="-56" w:type="dxa"/>
              <w:left w:w="-56" w:type="dxa"/>
              <w:bottom w:w="-56" w:type="dxa"/>
              <w:right w:w="-56" w:type="dxa"/>
            </w:tcMar>
          </w:tcPr>
          <w:p w:rsidR="00743DA6" w:rsidRDefault="00D95D19">
            <w:pPr>
              <w:spacing w:before="240" w:after="240"/>
              <w:ind w:right="62"/>
              <w:jc w:val="both"/>
              <w:rPr>
                <w:b/>
                <w:bCs/>
                <w:sz w:val="18"/>
                <w:szCs w:val="18"/>
              </w:rPr>
            </w:pPr>
            <w:r>
              <w:rPr>
                <w:b/>
                <w:bCs/>
                <w:sz w:val="16"/>
                <w:szCs w:val="16"/>
              </w:rPr>
              <w:t xml:space="preserve"> $ 460.547</w:t>
            </w:r>
          </w:p>
        </w:tc>
        <w:tc>
          <w:tcPr>
            <w:tcW w:w="1365" w:type="dxa"/>
            <w:tcBorders>
              <w:top w:val="single" w:sz="5" w:space="0" w:color="000000"/>
              <w:left w:val="single" w:sz="5" w:space="0" w:color="000000"/>
              <w:bottom w:val="single" w:sz="5" w:space="0" w:color="000000"/>
              <w:right w:val="single" w:sz="5" w:space="0" w:color="000000"/>
            </w:tcBorders>
            <w:shd w:val="clear" w:color="auto" w:fill="D9D9D9"/>
            <w:tcMar>
              <w:top w:w="-56" w:type="dxa"/>
              <w:left w:w="-56" w:type="dxa"/>
              <w:bottom w:w="-56" w:type="dxa"/>
              <w:right w:w="-56" w:type="dxa"/>
            </w:tcMar>
          </w:tcPr>
          <w:p w:rsidR="00743DA6" w:rsidRDefault="00D95D19">
            <w:pPr>
              <w:spacing w:before="240" w:after="240"/>
              <w:ind w:right="62"/>
              <w:jc w:val="both"/>
              <w:rPr>
                <w:b/>
                <w:bCs/>
                <w:sz w:val="18"/>
                <w:szCs w:val="18"/>
              </w:rPr>
            </w:pPr>
            <w:r>
              <w:rPr>
                <w:b/>
                <w:bCs/>
                <w:sz w:val="16"/>
                <w:szCs w:val="16"/>
              </w:rPr>
              <w:t>$176.557</w:t>
            </w:r>
          </w:p>
        </w:tc>
        <w:tc>
          <w:tcPr>
            <w:tcW w:w="1365" w:type="dxa"/>
            <w:tcBorders>
              <w:top w:val="single" w:sz="5" w:space="0" w:color="000000"/>
              <w:left w:val="single" w:sz="5" w:space="0" w:color="000000"/>
              <w:bottom w:val="single" w:sz="5" w:space="0" w:color="000000"/>
              <w:right w:val="single" w:sz="5" w:space="0" w:color="000000"/>
            </w:tcBorders>
            <w:shd w:val="clear" w:color="auto" w:fill="D9D9D9"/>
            <w:tcMar>
              <w:top w:w="-56" w:type="dxa"/>
              <w:left w:w="-56" w:type="dxa"/>
              <w:bottom w:w="-56" w:type="dxa"/>
              <w:right w:w="-56" w:type="dxa"/>
            </w:tcMar>
          </w:tcPr>
          <w:p w:rsidR="00743DA6" w:rsidRDefault="00D95D19">
            <w:pPr>
              <w:spacing w:before="240" w:after="240"/>
              <w:ind w:right="62"/>
              <w:jc w:val="both"/>
              <w:rPr>
                <w:b/>
                <w:bCs/>
                <w:sz w:val="18"/>
                <w:szCs w:val="18"/>
              </w:rPr>
            </w:pPr>
            <w:r>
              <w:rPr>
                <w:b/>
                <w:bCs/>
                <w:sz w:val="16"/>
                <w:szCs w:val="16"/>
              </w:rPr>
              <w:t>$ 831.521</w:t>
            </w:r>
          </w:p>
        </w:tc>
        <w:tc>
          <w:tcPr>
            <w:tcW w:w="795" w:type="dxa"/>
            <w:tcBorders>
              <w:top w:val="single" w:sz="5" w:space="0" w:color="000000"/>
              <w:left w:val="single" w:sz="5" w:space="0" w:color="000000"/>
              <w:bottom w:val="single" w:sz="5" w:space="0" w:color="000000"/>
              <w:right w:val="single" w:sz="5" w:space="0" w:color="000000"/>
            </w:tcBorders>
            <w:shd w:val="clear" w:color="auto" w:fill="D9D9D9"/>
            <w:tcMar>
              <w:top w:w="-56" w:type="dxa"/>
              <w:left w:w="-56" w:type="dxa"/>
              <w:bottom w:w="-56" w:type="dxa"/>
              <w:right w:w="-56" w:type="dxa"/>
            </w:tcMar>
          </w:tcPr>
          <w:p w:rsidR="00743DA6" w:rsidRDefault="00D95D19">
            <w:pPr>
              <w:spacing w:before="240" w:after="240"/>
              <w:ind w:right="62"/>
              <w:jc w:val="both"/>
              <w:rPr>
                <w:b/>
                <w:bCs/>
                <w:sz w:val="18"/>
                <w:szCs w:val="18"/>
              </w:rPr>
            </w:pPr>
            <w:r>
              <w:rPr>
                <w:b/>
                <w:bCs/>
                <w:sz w:val="16"/>
                <w:szCs w:val="16"/>
              </w:rPr>
              <w:t>$ 19.445</w:t>
            </w:r>
          </w:p>
        </w:tc>
      </w:tr>
    </w:tbl>
    <w:p w:rsidR="00743DA6" w:rsidRDefault="00D95D19">
      <w:pPr>
        <w:spacing w:before="240" w:after="240" w:line="276" w:lineRule="auto"/>
        <w:ind w:right="62"/>
        <w:jc w:val="center"/>
        <w:rPr>
          <w:sz w:val="18"/>
          <w:szCs w:val="18"/>
        </w:rPr>
      </w:pPr>
      <w:r>
        <w:rPr>
          <w:sz w:val="18"/>
          <w:szCs w:val="18"/>
        </w:rPr>
        <w:t>Fuente: Elaboración propia (2025) con base en la información suministrada por parte de la SHD “Comparativo 2025-2026”</w:t>
      </w:r>
    </w:p>
    <w:p w:rsidR="00743DA6" w:rsidRDefault="00D95D19">
      <w:pPr>
        <w:spacing w:before="240" w:after="240" w:line="276" w:lineRule="auto"/>
        <w:ind w:right="62"/>
        <w:jc w:val="both"/>
        <w:rPr>
          <w:sz w:val="22"/>
          <w:szCs w:val="22"/>
        </w:rPr>
      </w:pPr>
      <w:r>
        <w:rPr>
          <w:sz w:val="22"/>
          <w:szCs w:val="22"/>
        </w:rPr>
        <w:t xml:space="preserve">El sector de seguridad cuenta con 18 metas y catorce proyectos de inversión;  doce de los proyectos pertenecientes a las Secretaría de Seguridad y dos a la Unidad Administrativa Cuerpo Oficial de Bomberos de Bogotá. Un análisis minucioso de la distribución presupuestal por proyectos de inversión evidencia una planeación con dificultades y una priorización que contradice el discurso oficial de una "Bogotá que camina segura".  </w:t>
      </w:r>
    </w:p>
    <w:p w:rsidR="00743DA6" w:rsidRDefault="00D95D19">
      <w:pPr>
        <w:spacing w:before="240" w:after="240" w:line="276" w:lineRule="auto"/>
        <w:ind w:right="62"/>
        <w:jc w:val="both"/>
        <w:rPr>
          <w:sz w:val="22"/>
          <w:szCs w:val="22"/>
        </w:rPr>
      </w:pPr>
      <w:r>
        <w:rPr>
          <w:sz w:val="22"/>
          <w:szCs w:val="22"/>
        </w:rPr>
        <w:t>Se observa un abandono progresivo de las metas enfocadas en prevención y justicia comunitaria en favor de un enfoque reactivo y punitivo, con incrementos desproporcionados en partidas de fuerza policial y gestión carcelaria, mientras se recortan drásticamente proyectos clave en materia de modernización integral del C4, justicia territorial y gestión del riesgo.</w:t>
      </w:r>
    </w:p>
    <w:p w:rsidR="00743DA6" w:rsidRDefault="00D95D19">
      <w:pPr>
        <w:spacing w:before="240" w:after="240" w:line="276" w:lineRule="auto"/>
        <w:ind w:right="62"/>
        <w:jc w:val="both"/>
        <w:rPr>
          <w:sz w:val="22"/>
          <w:szCs w:val="22"/>
        </w:rPr>
      </w:pPr>
      <w:r>
        <w:rPr>
          <w:sz w:val="22"/>
          <w:szCs w:val="22"/>
        </w:rPr>
        <w:t>Un análisis detallado por entidades revela la verdadera orientación del presupuesto en seguridad:</w:t>
      </w:r>
    </w:p>
    <w:p w:rsidR="00743DA6" w:rsidRDefault="00D95D19">
      <w:pPr>
        <w:spacing w:before="240" w:after="240" w:line="276" w:lineRule="auto"/>
        <w:ind w:right="62"/>
        <w:rPr>
          <w:b/>
          <w:bCs/>
          <w:sz w:val="22"/>
          <w:szCs w:val="22"/>
        </w:rPr>
      </w:pPr>
      <w:r>
        <w:rPr>
          <w:b/>
          <w:bCs/>
          <w:sz w:val="22"/>
          <w:szCs w:val="22"/>
        </w:rPr>
        <w:t>A. Secretaría Distrital de Seguridad, Convivencia y Justicia (SDSCJ): El giro hacia el enfoque punitivo</w:t>
      </w:r>
    </w:p>
    <w:p w:rsidR="00743DA6" w:rsidRDefault="00D95D19">
      <w:pPr>
        <w:spacing w:line="276" w:lineRule="auto"/>
        <w:rPr>
          <w:sz w:val="22"/>
          <w:szCs w:val="22"/>
        </w:rPr>
      </w:pPr>
      <w:r>
        <w:rPr>
          <w:sz w:val="22"/>
          <w:szCs w:val="22"/>
        </w:rPr>
        <w:t>La SDSCJ concentra el 82% del presupuesto del sector y presenta las variaciones más alarmantes en sus proyectos de inversión:</w:t>
      </w:r>
    </w:p>
    <w:p w:rsidR="00743DA6" w:rsidRDefault="00743DA6">
      <w:pPr>
        <w:spacing w:line="276" w:lineRule="auto"/>
        <w:rPr>
          <w:sz w:val="22"/>
          <w:szCs w:val="22"/>
        </w:rPr>
      </w:pPr>
    </w:p>
    <w:p w:rsidR="00743DA6" w:rsidRDefault="00D95D19">
      <w:pPr>
        <w:spacing w:line="276" w:lineRule="auto"/>
        <w:jc w:val="center"/>
        <w:rPr>
          <w:sz w:val="22"/>
          <w:szCs w:val="22"/>
        </w:rPr>
      </w:pPr>
      <w:r>
        <w:rPr>
          <w:sz w:val="22"/>
          <w:szCs w:val="22"/>
        </w:rPr>
        <w:t xml:space="preserve">Tabla N° 12: Alertas y hallazgos por proyecto de inversión SDSCJ </w:t>
      </w:r>
    </w:p>
    <w:sdt>
      <w:sdtPr>
        <w:rPr>
          <w:rFonts w:ascii="Arial" w:eastAsia="Arial" w:hAnsi="Arial" w:cs="Arial"/>
          <w:sz w:val="24"/>
          <w:szCs w:val="24"/>
          <w:lang w:val="es" w:eastAsia="es-CO"/>
        </w:rPr>
        <w:tag w:val="goog_rdk_0"/>
        <w:id w:val="-1007264103"/>
        <w:lock w:val="contentLocked"/>
      </w:sdtPr>
      <w:sdtEndPr/>
      <w:sdtContent>
        <w:tbl>
          <w:tblPr>
            <w:tblStyle w:val="afffff8"/>
            <w:tblpPr w:leftFromText="180" w:rightFromText="180" w:topFromText="180" w:bottomFromText="180" w:vertAnchor="text" w:tblpX="-50" w:tblpY="239"/>
            <w:tblW w:w="8805" w:type="dxa"/>
            <w:tblBorders>
              <w:top w:val="nil"/>
              <w:left w:val="nil"/>
              <w:bottom w:val="nil"/>
              <w:right w:val="nil"/>
              <w:insideH w:val="nil"/>
              <w:insideV w:val="nil"/>
            </w:tblBorders>
            <w:tblLayout w:type="fixed"/>
            <w:tblLook w:val="0600" w:firstRow="0" w:lastRow="0" w:firstColumn="0" w:lastColumn="0" w:noHBand="1" w:noVBand="1"/>
          </w:tblPr>
          <w:tblGrid>
            <w:gridCol w:w="1545"/>
            <w:gridCol w:w="1620"/>
            <w:gridCol w:w="1740"/>
            <w:gridCol w:w="1380"/>
            <w:gridCol w:w="2520"/>
          </w:tblGrid>
          <w:tr w:rsidR="00743DA6">
            <w:trPr>
              <w:trHeight w:val="987"/>
            </w:trPr>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Tendencia</w:t>
                </w:r>
              </w:p>
            </w:tc>
            <w:tc>
              <w:tcPr>
                <w:tcW w:w="16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Proyecto</w:t>
                </w:r>
              </w:p>
            </w:tc>
            <w:tc>
              <w:tcPr>
                <w:tcW w:w="174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Presupuesto 2026</w:t>
                </w:r>
              </w:p>
            </w:tc>
            <w:tc>
              <w:tcPr>
                <w:tcW w:w="138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Variación vs. 2025</w:t>
                </w:r>
              </w:p>
            </w:tc>
            <w:tc>
              <w:tcPr>
                <w:tcW w:w="25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b/>
                    <w:bCs/>
                    <w:color w:val="0F1115"/>
                    <w:sz w:val="20"/>
                    <w:szCs w:val="20"/>
                    <w:highlight w:val="white"/>
                  </w:rPr>
                </w:pPr>
                <w:r>
                  <w:rPr>
                    <w:rFonts w:ascii="Roboto" w:eastAsia="Roboto" w:hAnsi="Roboto" w:cs="Roboto"/>
                    <w:b/>
                    <w:bCs/>
                    <w:color w:val="0F1115"/>
                    <w:sz w:val="20"/>
                    <w:szCs w:val="20"/>
                    <w:highlight w:val="white"/>
                  </w:rPr>
                  <w:t xml:space="preserve">Análisis. </w:t>
                </w:r>
              </w:p>
            </w:tc>
          </w:tr>
          <w:tr w:rsidR="00743DA6">
            <w:trPr>
              <w:trHeight w:val="4725"/>
            </w:trPr>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 xml:space="preserve">AUMENTO DRÁSTICO          </w:t>
                </w:r>
                <w:r>
                  <w:rPr>
                    <w:rFonts w:ascii="Roboto" w:eastAsia="Roboto" w:hAnsi="Roboto" w:cs="Roboto"/>
                    <w:color w:val="0F1115"/>
                    <w:sz w:val="20"/>
                    <w:szCs w:val="20"/>
                    <w:highlight w:val="white"/>
                  </w:rPr>
                  <w:tab/>
                </w:r>
              </w:p>
            </w:tc>
            <w:tc>
              <w:tcPr>
                <w:tcW w:w="16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 xml:space="preserve">8229. Fortalecimiento del pie de fuerza policial </w:t>
                </w:r>
              </w:p>
            </w:tc>
            <w:tc>
              <w:tcPr>
                <w:tcW w:w="174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$90.330 millones</w:t>
                </w:r>
              </w:p>
            </w:tc>
            <w:tc>
              <w:tcPr>
                <w:tcW w:w="138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+67.02%</w:t>
                </w:r>
              </w:p>
            </w:tc>
            <w:tc>
              <w:tcPr>
                <w:tcW w:w="25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jc w:val="both"/>
                  <w:rPr>
                    <w:rFonts w:ascii="Roboto" w:eastAsia="Roboto" w:hAnsi="Roboto" w:cs="Roboto"/>
                    <w:color w:val="0F1115"/>
                    <w:sz w:val="20"/>
                    <w:szCs w:val="20"/>
                    <w:highlight w:val="white"/>
                  </w:rPr>
                </w:pPr>
                <w:r>
                  <w:rPr>
                    <w:rFonts w:ascii="Roboto" w:eastAsia="Roboto" w:hAnsi="Roboto" w:cs="Roboto"/>
                    <w:color w:val="0F1115"/>
                    <w:sz w:val="20"/>
                    <w:szCs w:val="20"/>
                    <w:highlight w:val="white"/>
                  </w:rPr>
                  <w:t xml:space="preserve">Hallazgo Negativo 1: Se prioriza un presupuesto de $81.738 millones para la estrategia </w:t>
                </w:r>
                <w:r>
                  <w:rPr>
                    <w:rFonts w:ascii="Roboto" w:eastAsia="Roboto" w:hAnsi="Roboto" w:cs="Roboto"/>
                    <w:b/>
                    <w:bCs/>
                    <w:color w:val="0F1115"/>
                    <w:sz w:val="20"/>
                    <w:szCs w:val="20"/>
                    <w:highlight w:val="white"/>
                  </w:rPr>
                  <w:t>“Gestores del orden”</w:t>
                </w:r>
                <w:r>
                  <w:rPr>
                    <w:rFonts w:ascii="Roboto" w:eastAsia="Roboto" w:hAnsi="Roboto" w:cs="Roboto"/>
                    <w:color w:val="0F1115"/>
                    <w:sz w:val="20"/>
                    <w:szCs w:val="20"/>
                    <w:highlight w:val="white"/>
                  </w:rPr>
                  <w:t xml:space="preserve"> sin que se demuestre una correlación directa con la reducción de la criminalidad. Este incremento no está acompañado de una inversión equivalente en control interno y formación en derechos humanos.</w:t>
                </w:r>
              </w:p>
            </w:tc>
          </w:tr>
          <w:tr w:rsidR="00743DA6">
            <w:trPr>
              <w:trHeight w:val="3315"/>
            </w:trPr>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AUMENTO DRÁSTICO</w:t>
                </w:r>
              </w:p>
            </w:tc>
            <w:tc>
              <w:tcPr>
                <w:tcW w:w="16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8234</w:t>
                </w:r>
              </w:p>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Modelo de gestión carcelario</w:t>
                </w:r>
              </w:p>
            </w:tc>
            <w:tc>
              <w:tcPr>
                <w:tcW w:w="174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$110.108 millones</w:t>
                </w:r>
              </w:p>
            </w:tc>
            <w:tc>
              <w:tcPr>
                <w:tcW w:w="138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+59.26%</w:t>
                </w:r>
              </w:p>
            </w:tc>
            <w:tc>
              <w:tcPr>
                <w:tcW w:w="25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jc w:val="both"/>
                  <w:rPr>
                    <w:rFonts w:ascii="Roboto" w:eastAsia="Roboto" w:hAnsi="Roboto" w:cs="Roboto"/>
                    <w:color w:val="0F1115"/>
                    <w:sz w:val="20"/>
                    <w:szCs w:val="20"/>
                    <w:highlight w:val="white"/>
                  </w:rPr>
                </w:pPr>
                <w:r>
                  <w:rPr>
                    <w:rFonts w:ascii="Roboto" w:eastAsia="Roboto" w:hAnsi="Roboto" w:cs="Roboto"/>
                    <w:color w:val="0F1115"/>
                    <w:sz w:val="20"/>
                    <w:szCs w:val="20"/>
                    <w:highlight w:val="white"/>
                  </w:rPr>
                  <w:t xml:space="preserve">Hallazgo Negativo 2: Se destinan altos recursos al sistema penitenciario con una baja ejecución en la meta de implementar 1 plan de atención y descongestión carcelaria que para el 2025 tenía compromisos de $58.000 millones y solo $6.000 millones en giros. </w:t>
                </w:r>
              </w:p>
              <w:p w:rsidR="00743DA6" w:rsidRDefault="00743DA6">
                <w:pPr>
                  <w:shd w:val="clear" w:color="auto" w:fill="FFFFFF"/>
                  <w:spacing w:before="240" w:after="240" w:line="276" w:lineRule="auto"/>
                  <w:rPr>
                    <w:rFonts w:ascii="Roboto" w:eastAsia="Roboto" w:hAnsi="Roboto" w:cs="Roboto"/>
                    <w:color w:val="0F1115"/>
                    <w:sz w:val="20"/>
                    <w:szCs w:val="20"/>
                    <w:highlight w:val="white"/>
                  </w:rPr>
                </w:pPr>
              </w:p>
            </w:tc>
          </w:tr>
          <w:tr w:rsidR="00743DA6">
            <w:trPr>
              <w:trHeight w:val="3060"/>
            </w:trPr>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AUMENTO MODERADO</w:t>
                </w:r>
              </w:p>
            </w:tc>
            <w:tc>
              <w:tcPr>
                <w:tcW w:w="16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8231.</w:t>
                </w:r>
              </w:p>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Programa de Justicia Juvenil Restaurativa</w:t>
                </w:r>
              </w:p>
            </w:tc>
            <w:tc>
              <w:tcPr>
                <w:tcW w:w="174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$24.382 millones</w:t>
                </w:r>
              </w:p>
            </w:tc>
            <w:tc>
              <w:tcPr>
                <w:tcW w:w="138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+39.76%</w:t>
                </w:r>
              </w:p>
            </w:tc>
            <w:tc>
              <w:tcPr>
                <w:tcW w:w="25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jc w:val="both"/>
                  <w:rPr>
                    <w:rFonts w:ascii="Roboto" w:eastAsia="Roboto" w:hAnsi="Roboto" w:cs="Roboto"/>
                    <w:color w:val="0F1115"/>
                    <w:sz w:val="20"/>
                    <w:szCs w:val="20"/>
                    <w:highlight w:val="white"/>
                  </w:rPr>
                </w:pPr>
                <w:r>
                  <w:rPr>
                    <w:rFonts w:ascii="Roboto" w:eastAsia="Roboto" w:hAnsi="Roboto" w:cs="Roboto"/>
                    <w:color w:val="0F1115"/>
                    <w:sz w:val="20"/>
                    <w:szCs w:val="20"/>
                    <w:highlight w:val="white"/>
                  </w:rPr>
                  <w:t>Aunque es un avance, este aumento es bajo (+ $6.000 millones) frente a los $110 mil millones para gestión carcelaria.. Se queda en un gesto sin la capacidad real para abordar las causas estructurales de la delincuencia juvenil.</w:t>
                </w:r>
              </w:p>
            </w:tc>
          </w:tr>
          <w:tr w:rsidR="00743DA6">
            <w:trPr>
              <w:trHeight w:val="3450"/>
            </w:trPr>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DISMINUCIÓN CRÍTICA</w:t>
                </w:r>
              </w:p>
            </w:tc>
            <w:tc>
              <w:tcPr>
                <w:tcW w:w="16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8214.</w:t>
                </w:r>
              </w:p>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Fortalecimiento del C4 (Tecnología)</w:t>
                </w:r>
              </w:p>
            </w:tc>
            <w:tc>
              <w:tcPr>
                <w:tcW w:w="174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$101.380 millones</w:t>
                </w:r>
              </w:p>
            </w:tc>
            <w:tc>
              <w:tcPr>
                <w:tcW w:w="138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 xml:space="preserve">-17.00%          </w:t>
                </w:r>
                <w:r>
                  <w:rPr>
                    <w:rFonts w:ascii="Roboto" w:eastAsia="Roboto" w:hAnsi="Roboto" w:cs="Roboto"/>
                    <w:color w:val="0F1115"/>
                    <w:sz w:val="20"/>
                    <w:szCs w:val="20"/>
                    <w:highlight w:val="white"/>
                  </w:rPr>
                  <w:tab/>
                </w:r>
              </w:p>
            </w:tc>
            <w:tc>
              <w:tcPr>
                <w:tcW w:w="25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jc w:val="both"/>
                  <w:rPr>
                    <w:rFonts w:ascii="Roboto" w:eastAsia="Roboto" w:hAnsi="Roboto" w:cs="Roboto"/>
                    <w:color w:val="0F1115"/>
                    <w:sz w:val="20"/>
                    <w:szCs w:val="20"/>
                    <w:highlight w:val="white"/>
                  </w:rPr>
                </w:pPr>
                <w:r>
                  <w:rPr>
                    <w:rFonts w:ascii="Roboto" w:eastAsia="Roboto" w:hAnsi="Roboto" w:cs="Roboto"/>
                    <w:color w:val="0F1115"/>
                    <w:sz w:val="20"/>
                    <w:szCs w:val="20"/>
                    <w:highlight w:val="white"/>
                  </w:rPr>
                  <w:t>Hallazgo Negativo 3: Se recorta la inversión -$24.000 millones  en el nervio central de la seguridad moderna. Un C4 debilitado implica menor capacidad de inteligencia, reacción y coordinación, anulando la eficacia del mismo pie de fuerza que se pretende fortalecer.</w:t>
                </w:r>
              </w:p>
            </w:tc>
          </w:tr>
          <w:tr w:rsidR="00743DA6">
            <w:trPr>
              <w:trHeight w:val="3930"/>
            </w:trPr>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DISMINUCIÓN CRÍTICA</w:t>
                </w:r>
              </w:p>
            </w:tc>
            <w:tc>
              <w:tcPr>
                <w:tcW w:w="16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8233.</w:t>
                </w:r>
              </w:p>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Equipamientos de justicia con enfoque territorial</w:t>
                </w:r>
              </w:p>
            </w:tc>
            <w:tc>
              <w:tcPr>
                <w:tcW w:w="174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$60.739 millones</w:t>
                </w:r>
              </w:p>
            </w:tc>
            <w:tc>
              <w:tcPr>
                <w:tcW w:w="138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-31.49%</w:t>
                </w:r>
              </w:p>
            </w:tc>
            <w:tc>
              <w:tcPr>
                <w:tcW w:w="2520" w:type="dxa"/>
                <w:tcBorders>
                  <w:top w:val="single" w:sz="5" w:space="0" w:color="000000"/>
                  <w:left w:val="single" w:sz="5" w:space="0" w:color="000000"/>
                  <w:bottom w:val="single" w:sz="5" w:space="0" w:color="000000"/>
                  <w:right w:val="single" w:sz="5" w:space="0" w:color="000000"/>
                </w:tcBorders>
              </w:tcPr>
              <w:p w:rsidR="00743DA6" w:rsidRDefault="00D95D19">
                <w:pPr>
                  <w:shd w:val="clear" w:color="auto" w:fill="FFFFFF"/>
                  <w:spacing w:before="240" w:after="240" w:line="276" w:lineRule="auto"/>
                  <w:jc w:val="both"/>
                  <w:rPr>
                    <w:rFonts w:ascii="Roboto" w:eastAsia="Roboto" w:hAnsi="Roboto" w:cs="Roboto"/>
                    <w:color w:val="0F1115"/>
                    <w:sz w:val="20"/>
                    <w:szCs w:val="20"/>
                    <w:highlight w:val="white"/>
                  </w:rPr>
                </w:pPr>
                <w:r>
                  <w:rPr>
                    <w:rFonts w:ascii="Roboto" w:eastAsia="Roboto" w:hAnsi="Roboto" w:cs="Roboto"/>
                    <w:color w:val="0F1115"/>
                    <w:sz w:val="20"/>
                    <w:szCs w:val="20"/>
                    <w:highlight w:val="white"/>
                  </w:rPr>
                  <w:t>Hallazgo Negativo 4: Este recorte significa un golpe directo a la justicia comunitaria. Se desfinancia aspectos en Casas de Justicia y comisarías de familia, que son la primera línea de atención para resolver conflictos de manera pacífica antes de que escalen a hechos violentos.</w:t>
                </w:r>
              </w:p>
              <w:p w:rsidR="00743DA6" w:rsidRDefault="00D95D19">
                <w:pPr>
                  <w:shd w:val="clear" w:color="auto" w:fill="FFFFFF"/>
                  <w:spacing w:before="240" w:after="240" w:line="276" w:lineRule="auto"/>
                  <w:jc w:val="both"/>
                  <w:rPr>
                    <w:rFonts w:ascii="Roboto" w:eastAsia="Roboto" w:hAnsi="Roboto" w:cs="Roboto"/>
                    <w:color w:val="0F1115"/>
                    <w:sz w:val="20"/>
                    <w:szCs w:val="20"/>
                    <w:highlight w:val="white"/>
                  </w:rPr>
                </w:pPr>
                <w:r>
                  <w:rPr>
                    <w:rFonts w:ascii="Roboto" w:eastAsia="Roboto" w:hAnsi="Roboto" w:cs="Roboto"/>
                    <w:color w:val="0F1115"/>
                    <w:sz w:val="20"/>
                    <w:szCs w:val="20"/>
                    <w:highlight w:val="white"/>
                  </w:rPr>
                  <w:t>Frente a este particular la Secretarìa de seguridad plantea:</w:t>
                </w:r>
              </w:p>
              <w:p w:rsidR="00743DA6" w:rsidRDefault="00D95D19">
                <w:pPr>
                  <w:numPr>
                    <w:ilvl w:val="0"/>
                    <w:numId w:val="60"/>
                  </w:numPr>
                  <w:shd w:val="clear" w:color="auto" w:fill="FFFFFF"/>
                  <w:spacing w:before="240" w:line="276" w:lineRule="auto"/>
                  <w:jc w:val="both"/>
                  <w:rPr>
                    <w:rFonts w:ascii="Roboto" w:eastAsia="Roboto" w:hAnsi="Roboto" w:cs="Roboto"/>
                    <w:color w:val="0F1115"/>
                    <w:sz w:val="20"/>
                    <w:szCs w:val="20"/>
                    <w:highlight w:val="white"/>
                  </w:rPr>
                </w:pPr>
                <w:r>
                  <w:rPr>
                    <w:rFonts w:ascii="Roboto" w:eastAsia="Roboto" w:hAnsi="Roboto" w:cs="Roboto"/>
                    <w:color w:val="0F1115"/>
                    <w:sz w:val="20"/>
                    <w:szCs w:val="20"/>
                    <w:highlight w:val="white"/>
                  </w:rPr>
                  <w:t xml:space="preserve">Adquirir 2  CTP (centro de traslado por protección) </w:t>
                </w:r>
              </w:p>
              <w:p w:rsidR="00743DA6" w:rsidRDefault="00D95D19">
                <w:pPr>
                  <w:numPr>
                    <w:ilvl w:val="0"/>
                    <w:numId w:val="60"/>
                  </w:numPr>
                  <w:shd w:val="clear" w:color="auto" w:fill="FFFFFF"/>
                  <w:spacing w:after="240" w:line="276" w:lineRule="auto"/>
                  <w:jc w:val="both"/>
                  <w:rPr>
                    <w:rFonts w:ascii="Roboto" w:eastAsia="Roboto" w:hAnsi="Roboto" w:cs="Roboto"/>
                    <w:color w:val="0F1115"/>
                    <w:sz w:val="20"/>
                    <w:szCs w:val="20"/>
                    <w:highlight w:val="white"/>
                  </w:rPr>
                </w:pPr>
                <w:r>
                  <w:rPr>
                    <w:rFonts w:ascii="Roboto" w:eastAsia="Roboto" w:hAnsi="Roboto" w:cs="Roboto"/>
                    <w:color w:val="0F1115"/>
                    <w:sz w:val="20"/>
                    <w:szCs w:val="20"/>
                    <w:highlight w:val="white"/>
                  </w:rPr>
                  <w:t>No hay proyección para adquirir Unidades móviles, se van a hacer estudios y diseños y se va a adicionar la URI Norte y la URI tunjuelito.</w:t>
                </w:r>
              </w:p>
            </w:tc>
          </w:tr>
        </w:tbl>
      </w:sdtContent>
    </w:sdt>
    <w:p w:rsidR="00743DA6" w:rsidRDefault="00D95D19">
      <w:pPr>
        <w:spacing w:before="240" w:after="240" w:line="276" w:lineRule="auto"/>
        <w:ind w:right="62"/>
        <w:jc w:val="both"/>
        <w:rPr>
          <w:b/>
          <w:bCs/>
          <w:color w:val="0F1115"/>
          <w:sz w:val="22"/>
          <w:szCs w:val="22"/>
          <w:highlight w:val="white"/>
        </w:rPr>
      </w:pPr>
      <w:r>
        <w:rPr>
          <w:sz w:val="18"/>
          <w:szCs w:val="18"/>
        </w:rPr>
        <w:t>Fuente: Elaboración propia (2025) con base en la información suministrada de SHD “Comparativo 2025-2026”</w:t>
      </w:r>
    </w:p>
    <w:p w:rsidR="00743DA6" w:rsidRDefault="00D95D19">
      <w:pPr>
        <w:shd w:val="clear" w:color="auto" w:fill="FFFFFF"/>
        <w:spacing w:before="240" w:after="240" w:line="276" w:lineRule="auto"/>
        <w:rPr>
          <w:b/>
          <w:bCs/>
          <w:color w:val="0F1115"/>
          <w:sz w:val="22"/>
          <w:szCs w:val="22"/>
          <w:highlight w:val="white"/>
        </w:rPr>
      </w:pPr>
      <w:r>
        <w:rPr>
          <w:b/>
          <w:bCs/>
          <w:color w:val="0F1115"/>
          <w:sz w:val="22"/>
          <w:szCs w:val="22"/>
          <w:highlight w:val="white"/>
        </w:rPr>
        <w:t>B. Cuerpo Oficial de Bomberos (UAECOB): El abandono de la gestión del riesgo</w:t>
      </w:r>
    </w:p>
    <w:p w:rsidR="00743DA6" w:rsidRDefault="00D95D19">
      <w:pPr>
        <w:shd w:val="clear" w:color="auto" w:fill="FFFFFF"/>
        <w:spacing w:before="240" w:after="240" w:line="276" w:lineRule="auto"/>
        <w:rPr>
          <w:rFonts w:ascii="Roboto" w:eastAsia="Roboto" w:hAnsi="Roboto" w:cs="Roboto"/>
          <w:color w:val="0F1115"/>
          <w:highlight w:val="white"/>
        </w:rPr>
      </w:pPr>
      <w:r>
        <w:rPr>
          <w:rFonts w:ascii="Roboto" w:eastAsia="Roboto" w:hAnsi="Roboto" w:cs="Roboto"/>
          <w:color w:val="0F1115"/>
          <w:highlight w:val="white"/>
        </w:rPr>
        <w:t>Tabla N° 13: Alertas y hallazgos por proyecto de inversión UAECOB</w:t>
      </w:r>
    </w:p>
    <w:sdt>
      <w:sdtPr>
        <w:rPr>
          <w:rFonts w:ascii="Arial" w:eastAsia="Arial" w:hAnsi="Arial" w:cs="Arial"/>
          <w:sz w:val="24"/>
          <w:szCs w:val="24"/>
          <w:lang w:val="es" w:eastAsia="es-CO"/>
        </w:rPr>
        <w:tag w:val="goog_rdk_1"/>
        <w:id w:val="202265470"/>
        <w:lock w:val="contentLocked"/>
      </w:sdtPr>
      <w:sdtEndPr/>
      <w:sdtContent>
        <w:tbl>
          <w:tblPr>
            <w:tblStyle w:val="afffff9"/>
            <w:tblW w:w="8820" w:type="dxa"/>
            <w:tblBorders>
              <w:top w:val="nil"/>
              <w:left w:val="nil"/>
              <w:bottom w:val="nil"/>
              <w:right w:val="nil"/>
              <w:insideH w:val="nil"/>
              <w:insideV w:val="nil"/>
            </w:tblBorders>
            <w:tblLayout w:type="fixed"/>
            <w:tblLook w:val="0600" w:firstRow="0" w:lastRow="0" w:firstColumn="0" w:lastColumn="0" w:noHBand="1" w:noVBand="1"/>
          </w:tblPr>
          <w:tblGrid>
            <w:gridCol w:w="1980"/>
            <w:gridCol w:w="1800"/>
            <w:gridCol w:w="1410"/>
            <w:gridCol w:w="1170"/>
            <w:gridCol w:w="2460"/>
          </w:tblGrid>
          <w:tr w:rsidR="00743DA6">
            <w:trPr>
              <w:trHeight w:val="570"/>
            </w:trPr>
            <w:tc>
              <w:tcPr>
                <w:tcW w:w="198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hd w:val="clear" w:color="auto" w:fill="FFFFFF"/>
                  <w:spacing w:before="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Tendencia</w:t>
                </w:r>
              </w:p>
            </w:tc>
            <w:tc>
              <w:tcPr>
                <w:tcW w:w="180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hd w:val="clear" w:color="auto" w:fill="FFFFFF"/>
                  <w:spacing w:before="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Proyecto</w:t>
                </w:r>
              </w:p>
            </w:tc>
            <w:tc>
              <w:tcPr>
                <w:tcW w:w="141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hd w:val="clear" w:color="auto" w:fill="FFFFFF"/>
                  <w:spacing w:before="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Presupuesto 2026</w:t>
                </w:r>
              </w:p>
            </w:tc>
            <w:tc>
              <w:tcPr>
                <w:tcW w:w="117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hd w:val="clear" w:color="auto" w:fill="FFFFFF"/>
                  <w:spacing w:before="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Variación vs. 2025</w:t>
                </w:r>
              </w:p>
            </w:tc>
            <w:tc>
              <w:tcPr>
                <w:tcW w:w="246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hd w:val="clear" w:color="auto" w:fill="FFFFFF"/>
                  <w:spacing w:before="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Análisis</w:t>
                </w:r>
              </w:p>
            </w:tc>
          </w:tr>
          <w:tr w:rsidR="00743DA6">
            <w:trPr>
              <w:trHeight w:val="3255"/>
            </w:trPr>
            <w:tc>
              <w:tcPr>
                <w:tcW w:w="198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hd w:val="clear" w:color="auto" w:fill="FFFFFF"/>
                  <w:spacing w:before="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DISMINUCIÓN PREOCUPANTE</w:t>
                </w:r>
              </w:p>
            </w:tc>
            <w:tc>
              <w:tcPr>
                <w:tcW w:w="180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hd w:val="clear" w:color="auto" w:fill="FFFFFF"/>
                  <w:spacing w:before="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8173 Modernización y fortalecimiento de capacidades</w:t>
                </w:r>
              </w:p>
            </w:tc>
            <w:tc>
              <w:tcPr>
                <w:tcW w:w="141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hd w:val="clear" w:color="auto" w:fill="FFFFFF"/>
                  <w:spacing w:before="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$42.767 millones</w:t>
                </w:r>
              </w:p>
            </w:tc>
            <w:tc>
              <w:tcPr>
                <w:tcW w:w="11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hd w:val="clear" w:color="auto" w:fill="FFFFFF"/>
                  <w:spacing w:before="240" w:line="276" w:lineRule="auto"/>
                  <w:rPr>
                    <w:rFonts w:ascii="Roboto" w:eastAsia="Roboto" w:hAnsi="Roboto" w:cs="Roboto"/>
                    <w:color w:val="0F1115"/>
                    <w:sz w:val="20"/>
                    <w:szCs w:val="20"/>
                    <w:highlight w:val="white"/>
                  </w:rPr>
                </w:pPr>
                <w:r>
                  <w:rPr>
                    <w:rFonts w:ascii="Roboto" w:eastAsia="Roboto" w:hAnsi="Roboto" w:cs="Roboto"/>
                    <w:color w:val="0F1115"/>
                    <w:sz w:val="20"/>
                    <w:szCs w:val="20"/>
                    <w:highlight w:val="white"/>
                  </w:rPr>
                  <w:t>-7.60%</w:t>
                </w:r>
              </w:p>
            </w:tc>
            <w:tc>
              <w:tcPr>
                <w:tcW w:w="24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hd w:val="clear" w:color="auto" w:fill="FFFFFF"/>
                  <w:spacing w:before="240" w:after="160" w:line="256" w:lineRule="auto"/>
                  <w:jc w:val="both"/>
                  <w:rPr>
                    <w:rFonts w:ascii="Roboto" w:eastAsia="Roboto" w:hAnsi="Roboto" w:cs="Roboto"/>
                    <w:color w:val="0F1115"/>
                    <w:sz w:val="20"/>
                    <w:szCs w:val="20"/>
                    <w:highlight w:val="white"/>
                  </w:rPr>
                </w:pPr>
                <w:r>
                  <w:rPr>
                    <w:rFonts w:ascii="Roboto" w:eastAsia="Roboto" w:hAnsi="Roboto" w:cs="Roboto"/>
                    <w:color w:val="0F1115"/>
                    <w:sz w:val="20"/>
                    <w:szCs w:val="20"/>
                    <w:highlight w:val="white"/>
                  </w:rPr>
                  <w:t>Hallazgo Negativo 5: En un contexto de cambio climático con emergencias más frecuentes e intensas, recortar la inversión en equipos, formación y tecnología para Bomberos es una irresponsabilidad que pone en riesgo vidas y patrimonio.</w:t>
                </w:r>
              </w:p>
            </w:tc>
          </w:tr>
        </w:tbl>
      </w:sdtContent>
    </w:sdt>
    <w:p w:rsidR="00743DA6" w:rsidRDefault="00D95D19">
      <w:pPr>
        <w:spacing w:before="240" w:after="240" w:line="276" w:lineRule="auto"/>
        <w:ind w:right="62"/>
        <w:jc w:val="center"/>
        <w:rPr>
          <w:b/>
          <w:bCs/>
          <w:sz w:val="22"/>
          <w:szCs w:val="22"/>
        </w:rPr>
      </w:pPr>
      <w:r>
        <w:rPr>
          <w:sz w:val="18"/>
          <w:szCs w:val="18"/>
        </w:rPr>
        <w:t>Fuente: Elaboración propia (2025) con base en la información suministrada  de la SHD “Comparativo 2025-2026”</w:t>
      </w:r>
    </w:p>
    <w:p w:rsidR="00743DA6" w:rsidRDefault="00D95D19">
      <w:pPr>
        <w:shd w:val="clear" w:color="auto" w:fill="FFFFFF"/>
        <w:spacing w:before="240" w:after="240" w:line="276" w:lineRule="auto"/>
        <w:rPr>
          <w:b/>
          <w:bCs/>
          <w:sz w:val="22"/>
          <w:szCs w:val="22"/>
        </w:rPr>
      </w:pPr>
      <w:r>
        <w:rPr>
          <w:b/>
          <w:bCs/>
          <w:sz w:val="22"/>
          <w:szCs w:val="22"/>
        </w:rPr>
        <w:t>Argumentos Claves de análisis y alertas</w:t>
      </w:r>
    </w:p>
    <w:p w:rsidR="00743DA6" w:rsidRDefault="00D95D19">
      <w:pPr>
        <w:numPr>
          <w:ilvl w:val="0"/>
          <w:numId w:val="48"/>
        </w:numPr>
        <w:shd w:val="clear" w:color="auto" w:fill="FFFFFF"/>
        <w:spacing w:before="240" w:line="276" w:lineRule="auto"/>
        <w:jc w:val="both"/>
        <w:rPr>
          <w:sz w:val="22"/>
          <w:szCs w:val="22"/>
        </w:rPr>
      </w:pPr>
      <w:r>
        <w:rPr>
          <w:sz w:val="22"/>
          <w:szCs w:val="22"/>
        </w:rPr>
        <w:t>Desfinanciamiento de la Prevención: El presupuesto consolida un modelo de seguridad basado en la reacción y el castigo, evidenciado en los aumentos superiores al 50% en pie de fuerza y gestión carcelaria. Mientras tanto, la partida de "Convivencia pacífica y prevención" recibe solo el 0.6% del sector ($6.433 millones), una clara señal de que la prevención social no es una prioridad.</w:t>
      </w:r>
    </w:p>
    <w:p w:rsidR="00743DA6" w:rsidRDefault="00D95D19">
      <w:pPr>
        <w:numPr>
          <w:ilvl w:val="0"/>
          <w:numId w:val="48"/>
        </w:numPr>
        <w:shd w:val="clear" w:color="auto" w:fill="FFFFFF"/>
        <w:spacing w:line="276" w:lineRule="auto"/>
        <w:jc w:val="both"/>
        <w:rPr>
          <w:sz w:val="22"/>
          <w:szCs w:val="22"/>
        </w:rPr>
      </w:pPr>
      <w:r>
        <w:rPr>
          <w:sz w:val="22"/>
          <w:szCs w:val="22"/>
        </w:rPr>
        <w:t>Contradicción Estratégica y Técnica: Resulta ineficiente aumentar drásticamente el pie de fuerza policial mientras se recorta el presupuesto para el fortalecimiento del C4. La tecnología es un multiplicador de fuerza que hace más eficiente y segura la labor del policía. Esta decisión desarticula la estrategia de seguridad.</w:t>
      </w:r>
    </w:p>
    <w:p w:rsidR="00743DA6" w:rsidRDefault="00D95D19">
      <w:pPr>
        <w:numPr>
          <w:ilvl w:val="0"/>
          <w:numId w:val="48"/>
        </w:numPr>
        <w:shd w:val="clear" w:color="auto" w:fill="FFFFFF"/>
        <w:spacing w:line="276" w:lineRule="auto"/>
        <w:jc w:val="both"/>
        <w:rPr>
          <w:sz w:val="22"/>
          <w:szCs w:val="22"/>
        </w:rPr>
      </w:pPr>
      <w:r>
        <w:rPr>
          <w:sz w:val="22"/>
          <w:szCs w:val="22"/>
        </w:rPr>
        <w:t>Debilitamiento de la Justicia Comunitaria: El recorte del 31.49% a los equipamientos de justicia territorial es un retroceso en el acceso a la justicia para los ciudadanos. Se desmantela la infraestructura que permite la resolución pacífica de conflictos, lo que inevitablemente derivará en una mayor judicialización y saturación del sistema.</w:t>
      </w:r>
    </w:p>
    <w:p w:rsidR="00743DA6" w:rsidRDefault="00D95D19">
      <w:pPr>
        <w:numPr>
          <w:ilvl w:val="0"/>
          <w:numId w:val="48"/>
        </w:numPr>
        <w:shd w:val="clear" w:color="auto" w:fill="FFFFFF"/>
        <w:spacing w:line="276" w:lineRule="auto"/>
        <w:jc w:val="both"/>
        <w:rPr>
          <w:sz w:val="22"/>
          <w:szCs w:val="22"/>
        </w:rPr>
      </w:pPr>
      <w:r>
        <w:rPr>
          <w:sz w:val="22"/>
          <w:szCs w:val="22"/>
        </w:rPr>
        <w:t>Inconsistencia en la Ejecución: El histórico de ejecución (97% en 2024 vs. 61% en 2025) y la caída en los giros presupuestales (26% en 2025) plantean serias dudas sobre la capacidad real de esta entidad para ejecutar el incremento de $763.587 millones en inversión proyectados para 2026.</w:t>
      </w:r>
    </w:p>
    <w:p w:rsidR="00743DA6" w:rsidRDefault="00D95D19">
      <w:pPr>
        <w:numPr>
          <w:ilvl w:val="0"/>
          <w:numId w:val="48"/>
        </w:numPr>
        <w:shd w:val="clear" w:color="auto" w:fill="FFFFFF"/>
        <w:spacing w:line="276" w:lineRule="auto"/>
        <w:jc w:val="both"/>
        <w:rPr>
          <w:sz w:val="22"/>
          <w:szCs w:val="22"/>
        </w:rPr>
      </w:pPr>
      <w:r>
        <w:rPr>
          <w:sz w:val="22"/>
          <w:szCs w:val="22"/>
        </w:rPr>
        <w:t>Abandono de la Gestión del Riesgo: La disminución de la inversión en Bomberos demuestra una visión unilineal de la seguridad, limitándose a la seguridad basada en el ejercicio de control y olvidando la protección frente a desastres y emergencias, un componente fundamental del derecho a la seguridad.</w:t>
      </w:r>
    </w:p>
    <w:p w:rsidR="00743DA6" w:rsidRDefault="00743DA6">
      <w:pPr>
        <w:shd w:val="clear" w:color="auto" w:fill="FFFFFF"/>
        <w:spacing w:after="240" w:line="276" w:lineRule="auto"/>
        <w:jc w:val="both"/>
        <w:rPr>
          <w:b/>
          <w:bCs/>
          <w:sz w:val="22"/>
          <w:szCs w:val="22"/>
        </w:rPr>
      </w:pPr>
    </w:p>
    <w:p w:rsidR="00743DA6" w:rsidRDefault="00D95D19">
      <w:pPr>
        <w:shd w:val="clear" w:color="auto" w:fill="FFFFFF"/>
        <w:spacing w:after="240" w:line="276" w:lineRule="auto"/>
        <w:jc w:val="both"/>
        <w:rPr>
          <w:b/>
          <w:bCs/>
          <w:sz w:val="22"/>
          <w:szCs w:val="22"/>
        </w:rPr>
      </w:pPr>
      <w:r>
        <w:rPr>
          <w:b/>
          <w:bCs/>
          <w:sz w:val="22"/>
          <w:szCs w:val="22"/>
        </w:rPr>
        <w:t xml:space="preserve">Traslado de las comisarías de familia de SDIS a SDSCJ.  </w:t>
      </w:r>
    </w:p>
    <w:p w:rsidR="00743DA6" w:rsidRDefault="00D95D19">
      <w:pPr>
        <w:shd w:val="clear" w:color="auto" w:fill="FFFFFF"/>
        <w:spacing w:before="240" w:after="240" w:line="276" w:lineRule="auto"/>
        <w:jc w:val="both"/>
        <w:rPr>
          <w:sz w:val="22"/>
          <w:szCs w:val="22"/>
        </w:rPr>
      </w:pPr>
      <w:r>
        <w:rPr>
          <w:sz w:val="22"/>
          <w:szCs w:val="22"/>
        </w:rPr>
        <w:t>En la distribución presupuestal proyectada para la vigencia 2026 no se identifica con precisión la fuente de financiación requerida para ejecutar el traslado de las comisarías de familia desde la Secretaría de Integración Social hacia la Secretaría de Seguridad. De acuerdo con las respuestas oficiales remitidas por la SDIS mediante derecho de petición, este proceso demanda alrededor de $14.000 millones, monto necesario para garantizar tanto el traslado de los equipos comisariales como la gestión logística y documental asociada al movimiento de aproximadamente 30.000 cajas de expedientes, operación que debe cumplir estándares de ciberseguridad y custodia documental.</w:t>
      </w:r>
    </w:p>
    <w:p w:rsidR="00743DA6" w:rsidRDefault="00D95D19">
      <w:pPr>
        <w:shd w:val="clear" w:color="auto" w:fill="FFFFFF"/>
        <w:spacing w:before="240" w:after="240" w:line="276" w:lineRule="auto"/>
        <w:jc w:val="both"/>
        <w:rPr>
          <w:sz w:val="22"/>
          <w:szCs w:val="22"/>
        </w:rPr>
      </w:pPr>
      <w:r>
        <w:rPr>
          <w:sz w:val="22"/>
          <w:szCs w:val="22"/>
        </w:rPr>
        <w:t xml:space="preserve">Asimismo, la Secretaría de Seguridad, Convivencia y Justicia indicó en la misma comunicación que dicha transferencia implicaría un incremento cercano a $20.000 millones en su presupuesto. Sin embargo, ninguno de estos valores aparece desagregado en las proyecciones presupuestales de la entidad para la vigencia 2026, lo que evidencia una ausencia de soporte financiero claro para asumir la carga operativa y administrativa asociada al proceso. </w:t>
      </w:r>
    </w:p>
    <w:p w:rsidR="00743DA6" w:rsidRDefault="00D95D19">
      <w:pPr>
        <w:shd w:val="clear" w:color="auto" w:fill="FFFFFF"/>
        <w:spacing w:after="240" w:line="276" w:lineRule="auto"/>
        <w:jc w:val="center"/>
        <w:rPr>
          <w:b/>
          <w:bCs/>
          <w:sz w:val="22"/>
          <w:szCs w:val="22"/>
        </w:rPr>
      </w:pPr>
      <w:r>
        <w:rPr>
          <w:b/>
          <w:bCs/>
          <w:sz w:val="22"/>
          <w:szCs w:val="22"/>
        </w:rPr>
        <w:t>Sector Educativo</w:t>
      </w:r>
    </w:p>
    <w:p w:rsidR="00743DA6" w:rsidRDefault="00D95D19">
      <w:pPr>
        <w:spacing w:before="240" w:after="240" w:line="276" w:lineRule="auto"/>
        <w:jc w:val="both"/>
        <w:rPr>
          <w:sz w:val="22"/>
          <w:szCs w:val="22"/>
        </w:rPr>
      </w:pPr>
      <w:r>
        <w:rPr>
          <w:sz w:val="22"/>
          <w:szCs w:val="22"/>
        </w:rPr>
        <w:t>El Sector Educación permanece como uno de los ejes centrales del gasto público en Bogotá y, por quinto año consecutivo, se consolida como el segundo mayor componente del presupuesto distrital. Para 2026, su apropiación asciende a $8,37 billones, equivalente a un crecimiento del 8,7% respecto a 2025, lo cual confirma que la ciudad continúa destinando una parte sustancial de su esfuerzo fiscal a garantizar la operación del sistema educativo. No obstante, este incremento no es homogéneo entre las entidades del sector, ni expresa, por sí mismo, un fortalecimiento estructural de la política educativa distrital. Más bien sugiere una reorientación del gasto hacia componentes rígidos y operativos, con menor peso relativo para apuestas transformadoras que habían venido consolidándose en ciclos anteriores.</w:t>
      </w:r>
    </w:p>
    <w:p w:rsidR="00743DA6" w:rsidRDefault="00D95D19">
      <w:pPr>
        <w:spacing w:before="240" w:after="240" w:line="276" w:lineRule="auto"/>
        <w:jc w:val="both"/>
        <w:rPr>
          <w:sz w:val="22"/>
          <w:szCs w:val="22"/>
        </w:rPr>
      </w:pPr>
      <w:r>
        <w:rPr>
          <w:sz w:val="22"/>
          <w:szCs w:val="22"/>
        </w:rPr>
        <w:t>Aunque el sector aumenta en su conjunto, el crecimiento se concentra en dos entidades: SED (+9,2%) y ATENEA (+6,5%), que absorben cerca del 94% del incremento total. Este patrón no es menor. Indica que la expansión del presupuesto se dirige prioritariamente a cubrir presiones de nómina, costos asociados a la operación escolar y continuidad de programas posmedia ya comprometidos, antes que a robustecer la infraestructura educativa, los procesos comunitarios, la ruralidad escolar o los proyectos estratégicos que históricamente han ampliado capacidades del sistema. Es decir, el dilema no es cuánto crece el presupuesto, pues crece, sino hacia dónde se está orientando, qué modelos privilegia y qué dimensiones de la política educativa quedan subordinadas o rezagadas en esta nueva configuración del gasto.</w:t>
      </w:r>
    </w:p>
    <w:p w:rsidR="00743DA6" w:rsidRDefault="00D95D19">
      <w:pPr>
        <w:spacing w:before="240" w:after="240"/>
        <w:rPr>
          <w:b/>
          <w:bCs/>
          <w:sz w:val="22"/>
          <w:szCs w:val="22"/>
        </w:rPr>
      </w:pPr>
      <w:r>
        <w:rPr>
          <w:b/>
          <w:bCs/>
          <w:sz w:val="22"/>
          <w:szCs w:val="22"/>
        </w:rPr>
        <w:t>Secretaría Distrital de Educación</w:t>
      </w:r>
    </w:p>
    <w:p w:rsidR="00743DA6" w:rsidRDefault="00D95D19">
      <w:pPr>
        <w:spacing w:before="240" w:after="240" w:line="276" w:lineRule="auto"/>
        <w:jc w:val="both"/>
        <w:rPr>
          <w:sz w:val="22"/>
          <w:szCs w:val="22"/>
        </w:rPr>
      </w:pPr>
      <w:r>
        <w:rPr>
          <w:sz w:val="22"/>
          <w:szCs w:val="22"/>
        </w:rPr>
        <w:t xml:space="preserve">A partir de los datos consolidados por la Secretaría Distrital de Hacienda (2025), la evolución presupuestal de la Secretaría de Educación entre 2022 y 2026 revela una trayectoria ascendente en los montos apropiados para funcionamiento e inversión directa, pero con comportamientos divergentes en la capacidad real de ejecución. Tal como se observa en la gráfica </w:t>
      </w:r>
      <w:r>
        <w:rPr>
          <w:i/>
          <w:iCs/>
          <w:sz w:val="22"/>
          <w:szCs w:val="22"/>
        </w:rPr>
        <w:t>Evolución del Presupuesto de la Secretaría de Educación (2022–2026)</w:t>
      </w:r>
      <w:r>
        <w:rPr>
          <w:sz w:val="22"/>
          <w:szCs w:val="22"/>
        </w:rPr>
        <w:t>, el presupuesto inicial de funcionamiento pasa de $122,6 billones en 2022 a una proyección de $180,4 billones para 2026, mientras que la inversión directa se expande desde $4,8 billones hasta un estimado de $7,56 billones para 2026. Esta tendencia muestra un crecimiento sostenido que, en principio, debería fortalecer los procesos estratégicos del sector educativo y consolidar capacidades instaladas. Sin embargo, la brecha creciente entre los niveles de apropiación inicial y los compromisos ejecutados en los últimos dos años introduce una señal de alerta sobre la consistencia del modelo de gestión vigente.</w:t>
      </w:r>
    </w:p>
    <w:p w:rsidR="00743DA6" w:rsidRDefault="00D95D19">
      <w:pPr>
        <w:spacing w:before="240" w:after="240" w:line="276" w:lineRule="auto"/>
        <w:jc w:val="center"/>
        <w:rPr>
          <w:b/>
          <w:bCs/>
          <w:sz w:val="22"/>
          <w:szCs w:val="22"/>
        </w:rPr>
      </w:pPr>
      <w:r>
        <w:rPr>
          <w:b/>
          <w:bCs/>
          <w:sz w:val="22"/>
          <w:szCs w:val="22"/>
        </w:rPr>
        <w:t xml:space="preserve">Gráfica 3. Evolución del presupuesto de Funcionamiento de la Secretaría Distrital de Educación (2002 - 20026)  </w:t>
      </w:r>
    </w:p>
    <w:p w:rsidR="00743DA6" w:rsidRDefault="00D95D19">
      <w:pPr>
        <w:spacing w:before="240" w:after="240" w:line="276" w:lineRule="auto"/>
        <w:jc w:val="both"/>
      </w:pPr>
      <w:r>
        <w:rPr>
          <w:noProof/>
          <w:lang w:val="es-CO"/>
        </w:rPr>
        <w:drawing>
          <wp:inline distT="114300" distB="114300" distL="114300" distR="114300">
            <wp:extent cx="5612130" cy="3035300"/>
            <wp:effectExtent l="0" t="0" r="0" b="0"/>
            <wp:docPr id="2127399626"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7"/>
                    <a:srcRect/>
                    <a:stretch>
                      <a:fillRect/>
                    </a:stretch>
                  </pic:blipFill>
                  <pic:spPr>
                    <a:xfrm>
                      <a:off x="0" y="0"/>
                      <a:ext cx="5612130" cy="3035300"/>
                    </a:xfrm>
                    <a:prstGeom prst="rect">
                      <a:avLst/>
                    </a:prstGeom>
                    <a:ln/>
                  </pic:spPr>
                </pic:pic>
              </a:graphicData>
            </a:graphic>
          </wp:inline>
        </w:drawing>
      </w:r>
    </w:p>
    <w:p w:rsidR="00743DA6" w:rsidRDefault="00D95D19">
      <w:pPr>
        <w:spacing w:before="240" w:after="240" w:line="276" w:lineRule="auto"/>
        <w:jc w:val="center"/>
        <w:rPr>
          <w:sz w:val="18"/>
          <w:szCs w:val="18"/>
        </w:rPr>
      </w:pPr>
      <w:r>
        <w:rPr>
          <w:b/>
          <w:bCs/>
          <w:sz w:val="18"/>
          <w:szCs w:val="18"/>
        </w:rPr>
        <w:t xml:space="preserve">Fuente: </w:t>
      </w:r>
      <w:r>
        <w:rPr>
          <w:sz w:val="18"/>
          <w:szCs w:val="18"/>
        </w:rPr>
        <w:t>Elaboración propia (2025) . Con base en la información suministrada por parte de la SDH: Comparativo presupuesto anual por entidades 2022-2026</w:t>
      </w:r>
    </w:p>
    <w:p w:rsidR="00743DA6" w:rsidRDefault="00D95D19">
      <w:pPr>
        <w:spacing w:before="240" w:after="240" w:line="276" w:lineRule="auto"/>
        <w:jc w:val="center"/>
        <w:rPr>
          <w:sz w:val="22"/>
          <w:szCs w:val="22"/>
        </w:rPr>
      </w:pPr>
      <w:r>
        <w:rPr>
          <w:b/>
          <w:bCs/>
          <w:sz w:val="22"/>
          <w:szCs w:val="22"/>
        </w:rPr>
        <w:t xml:space="preserve">Gráfica 4. Evolución del presupuesto de Inversión Directa de la Secretaría Distrital de Educación (2002 - 20026)  </w:t>
      </w:r>
    </w:p>
    <w:p w:rsidR="00743DA6" w:rsidRDefault="00D95D19">
      <w:pPr>
        <w:spacing w:before="240" w:after="240" w:line="276" w:lineRule="auto"/>
        <w:jc w:val="center"/>
        <w:rPr>
          <w:sz w:val="18"/>
          <w:szCs w:val="18"/>
        </w:rPr>
      </w:pPr>
      <w:r>
        <w:rPr>
          <w:noProof/>
          <w:sz w:val="18"/>
          <w:szCs w:val="18"/>
          <w:lang w:val="es-CO"/>
        </w:rPr>
        <w:drawing>
          <wp:inline distT="114300" distB="114300" distL="114300" distR="114300">
            <wp:extent cx="5230178" cy="2832643"/>
            <wp:effectExtent l="0" t="0" r="0" b="0"/>
            <wp:docPr id="212739962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18"/>
                    <a:srcRect/>
                    <a:stretch>
                      <a:fillRect/>
                    </a:stretch>
                  </pic:blipFill>
                  <pic:spPr>
                    <a:xfrm>
                      <a:off x="0" y="0"/>
                      <a:ext cx="5230178" cy="2832643"/>
                    </a:xfrm>
                    <a:prstGeom prst="rect">
                      <a:avLst/>
                    </a:prstGeom>
                    <a:ln/>
                  </pic:spPr>
                </pic:pic>
              </a:graphicData>
            </a:graphic>
          </wp:inline>
        </w:drawing>
      </w:r>
    </w:p>
    <w:p w:rsidR="00743DA6" w:rsidRDefault="00D95D19">
      <w:pPr>
        <w:spacing w:before="240" w:after="240" w:line="276" w:lineRule="auto"/>
        <w:jc w:val="center"/>
        <w:rPr>
          <w:sz w:val="18"/>
          <w:szCs w:val="18"/>
        </w:rPr>
      </w:pPr>
      <w:r>
        <w:rPr>
          <w:b/>
          <w:bCs/>
          <w:sz w:val="18"/>
          <w:szCs w:val="18"/>
        </w:rPr>
        <w:t xml:space="preserve">Fuente: </w:t>
      </w:r>
      <w:r>
        <w:rPr>
          <w:sz w:val="18"/>
          <w:szCs w:val="18"/>
        </w:rPr>
        <w:t>Elaboración propia (2025) con base en la información suministrada por parte de la SDH: Comparativo presupuesto anual por entidades 2022-2026</w:t>
      </w:r>
    </w:p>
    <w:p w:rsidR="00743DA6" w:rsidRDefault="00D95D19">
      <w:pPr>
        <w:spacing w:before="240" w:after="240" w:line="276" w:lineRule="auto"/>
        <w:jc w:val="both"/>
        <w:rPr>
          <w:sz w:val="22"/>
          <w:szCs w:val="22"/>
        </w:rPr>
      </w:pPr>
      <w:r>
        <w:rPr>
          <w:sz w:val="22"/>
          <w:szCs w:val="22"/>
        </w:rPr>
        <w:t>La caída en los compromisos observada en 2025 para funcionamiento, que retrocede a $125,9 billones, tras haber alcanzado $153,8 billones en 2024, y la contracción en la ejecución comprometida de inversión directa, que cae de $6,5 billones en 2024 a $5,48 billones en 2025, sugieren tensiones en la capacidad operativa del sector. Este comportamiento no solo modera el impacto real del crecimiento presupuestal proyectado para 2026, sino que cuestiona la gobernabilidad financiera del sistema educativo en un contexto donde las necesidades territoriales aumentan y los instrumentos de política requieren estabilidad y continuidad. En consecuencia, el análisis comparado evidencia que el crecimiento del presupuesto, aunque significativo en términos nominales, no se traduce automáticamente en mayor fortaleza institucional, especialmente cuando la ejecución efectiva experimenta retrocesos que erosionan la capacidad de respuesta pública en temas críticos como infraestructura, cobertura y calidad educativa.</w:t>
      </w:r>
    </w:p>
    <w:p w:rsidR="00743DA6" w:rsidRDefault="00D95D19">
      <w:pPr>
        <w:spacing w:before="240" w:after="240" w:line="276" w:lineRule="auto"/>
        <w:jc w:val="both"/>
        <w:rPr>
          <w:sz w:val="22"/>
          <w:szCs w:val="22"/>
        </w:rPr>
      </w:pPr>
      <w:r>
        <w:rPr>
          <w:sz w:val="22"/>
          <w:szCs w:val="22"/>
        </w:rPr>
        <w:t xml:space="preserve">La tabla de </w:t>
      </w:r>
      <w:r>
        <w:rPr>
          <w:rFonts w:ascii="Times New Roman" w:eastAsia="Times New Roman" w:hAnsi="Times New Roman" w:cs="Times New Roman"/>
          <w:sz w:val="22"/>
          <w:szCs w:val="22"/>
        </w:rPr>
        <w:t>Programación Presupuestal Comparada de la Secretaría de Educación del Distrito: Vigencia 2025 y Proyecto de Presupuesto 2026,</w:t>
      </w:r>
      <w:r>
        <w:rPr>
          <w:sz w:val="22"/>
          <w:szCs w:val="22"/>
        </w:rPr>
        <w:t xml:space="preserve"> presenta una reconstrucción detallada de la programación presupuestal de la Secretaría de Educación del Distrito, integrando 18 metas sectoriales, 11 proyectos de inversión y 43 actividades que articulan la operación misional del sistema educativo. Su elaboración se basa en los datos comparativos suministrados por la Secretaría Distrital de Hacienda, contrastando la vigencia 2025 con la proyección presupuestal para 2026. Este ejercicio permite observar, con la granularidad necesaria, no solo el tamaño de los recursos destinados a cada componente, sino también la manera en que se reorganiza el gasto entre compromisos, giros y nuevas apropiaciones.</w:t>
      </w:r>
    </w:p>
    <w:p w:rsidR="00743DA6" w:rsidRDefault="00D95D19">
      <w:pPr>
        <w:spacing w:before="240" w:after="240" w:line="276" w:lineRule="auto"/>
        <w:jc w:val="both"/>
        <w:rPr>
          <w:sz w:val="22"/>
          <w:szCs w:val="22"/>
        </w:rPr>
      </w:pPr>
      <w:r>
        <w:rPr>
          <w:sz w:val="22"/>
          <w:szCs w:val="22"/>
        </w:rPr>
        <w:t>Más que un simple cuadro financiero, la tabla revela la lógica interna de priorización que está dando forma al modelo educativo distrital en esta administración. Aunque el presupuesto agregado del sector crece, la distribución entre metas, proyectos y actividades evidencia énfasis que invitan a una lectura cuidadosa: algunos campos muestran incrementos pronunciados, otros mantienen niveles apenas suficientes para sostener la operación básica, y varios registran reducciones o estancamientos frente a 2025. Esta dinámica introduce preguntas sobre el equilibrio entre operación diaria y fortalecimiento estructural, y sobre la coherencia entre los incrementos globales anunciados y la capacidad real de estos recursos para transformar el sistema educativo.</w:t>
      </w:r>
    </w:p>
    <w:p w:rsidR="00743DA6" w:rsidRDefault="00D95D19">
      <w:pPr>
        <w:spacing w:before="240" w:after="240" w:line="276" w:lineRule="auto"/>
        <w:jc w:val="both"/>
        <w:rPr>
          <w:sz w:val="22"/>
          <w:szCs w:val="22"/>
        </w:rPr>
      </w:pPr>
      <w:r>
        <w:rPr>
          <w:sz w:val="22"/>
          <w:szCs w:val="22"/>
        </w:rPr>
        <w:t>En esta fase inicial del análisis, no se trata de emitir juicios definitivos, sino de reconocer que la configuración interna del gasto anticipa tensiones importantes entre continuidad, priorización y orientación estratégica. El comportamiento diferenciado de las actividades presupuestales permite identificar dónde se está concentrando el esfuerzo fiscal y, al mismo tiempo, abre la discusión sobre si estos movimientos responden a las necesidades estructurales del sistema o a una reorganización cuyo impacto de mediano plazo deberá examinarse con especial rigor.</w:t>
      </w:r>
    </w:p>
    <w:p w:rsidR="00743DA6" w:rsidRDefault="00D95D19">
      <w:pPr>
        <w:spacing w:before="240" w:after="240" w:line="276" w:lineRule="auto"/>
        <w:jc w:val="center"/>
        <w:rPr>
          <w:sz w:val="22"/>
          <w:szCs w:val="22"/>
        </w:rPr>
      </w:pPr>
      <w:r>
        <w:rPr>
          <w:b/>
          <w:bCs/>
          <w:sz w:val="22"/>
          <w:szCs w:val="22"/>
        </w:rPr>
        <w:t xml:space="preserve">Tabla 14. Programación Presupuestal Comparada de la Secretaría de Educación del Distrito: Vigencia 2025 y Proyecto de Presupuesto 2026. </w:t>
      </w:r>
    </w:p>
    <w:tbl>
      <w:tblPr>
        <w:tblStyle w:val="afffffa"/>
        <w:tblW w:w="8775" w:type="dxa"/>
        <w:tblBorders>
          <w:top w:val="nil"/>
          <w:left w:val="nil"/>
          <w:bottom w:val="nil"/>
          <w:right w:val="nil"/>
          <w:insideH w:val="nil"/>
          <w:insideV w:val="nil"/>
        </w:tblBorders>
        <w:tblLayout w:type="fixed"/>
        <w:tblLook w:val="0600" w:firstRow="0" w:lastRow="0" w:firstColumn="0" w:lastColumn="0" w:noHBand="1" w:noVBand="1"/>
      </w:tblPr>
      <w:tblGrid>
        <w:gridCol w:w="2970"/>
        <w:gridCol w:w="1305"/>
        <w:gridCol w:w="1170"/>
        <w:gridCol w:w="1245"/>
        <w:gridCol w:w="1245"/>
        <w:gridCol w:w="840"/>
      </w:tblGrid>
      <w:tr w:rsidR="00743DA6">
        <w:trPr>
          <w:trHeight w:val="1250"/>
        </w:trPr>
        <w:tc>
          <w:tcPr>
            <w:tcW w:w="2970" w:type="dxa"/>
            <w:tcBorders>
              <w:top w:val="single" w:sz="5" w:space="0" w:color="000000"/>
              <w:left w:val="single" w:sz="5" w:space="0" w:color="000000"/>
              <w:bottom w:val="single" w:sz="5" w:space="0" w:color="000000"/>
              <w:right w:val="single" w:sz="5" w:space="0" w:color="000000"/>
            </w:tcBorders>
            <w:shd w:val="clear" w:color="auto" w:fill="D9D9D9"/>
            <w:tcMar>
              <w:top w:w="-170" w:type="dxa"/>
              <w:left w:w="-170" w:type="dxa"/>
              <w:bottom w:w="-170" w:type="dxa"/>
              <w:right w:w="-170" w:type="dxa"/>
            </w:tcMar>
          </w:tcPr>
          <w:p w:rsidR="00743DA6" w:rsidRDefault="00D95D19">
            <w:pPr>
              <w:spacing w:before="240" w:after="240"/>
              <w:jc w:val="center"/>
              <w:rPr>
                <w:rFonts w:ascii="Arial" w:eastAsia="Arial" w:hAnsi="Arial" w:cs="Arial"/>
                <w:sz w:val="18"/>
                <w:szCs w:val="18"/>
              </w:rPr>
            </w:pPr>
            <w:r>
              <w:rPr>
                <w:rFonts w:ascii="Arial" w:eastAsia="Arial" w:hAnsi="Arial" w:cs="Arial"/>
                <w:sz w:val="18"/>
                <w:szCs w:val="18"/>
              </w:rPr>
              <w:t>Proyectos de Inversión</w:t>
            </w:r>
          </w:p>
        </w:tc>
        <w:tc>
          <w:tcPr>
            <w:tcW w:w="1305" w:type="dxa"/>
            <w:tcBorders>
              <w:top w:val="single" w:sz="5" w:space="0" w:color="000000"/>
              <w:left w:val="single" w:sz="5" w:space="0" w:color="000000"/>
              <w:bottom w:val="single" w:sz="5" w:space="0" w:color="000000"/>
              <w:right w:val="single" w:sz="5" w:space="0" w:color="000000"/>
            </w:tcBorders>
            <w:shd w:val="clear" w:color="auto" w:fill="D9D9D9"/>
            <w:tcMar>
              <w:top w:w="-170" w:type="dxa"/>
              <w:left w:w="-170" w:type="dxa"/>
              <w:bottom w:w="-170" w:type="dxa"/>
              <w:right w:w="-170" w:type="dxa"/>
            </w:tcMar>
          </w:tcPr>
          <w:p w:rsidR="00743DA6" w:rsidRDefault="00D95D19">
            <w:pPr>
              <w:spacing w:before="240" w:after="240"/>
              <w:jc w:val="center"/>
              <w:rPr>
                <w:rFonts w:ascii="Arial" w:eastAsia="Arial" w:hAnsi="Arial" w:cs="Arial"/>
                <w:sz w:val="18"/>
                <w:szCs w:val="18"/>
              </w:rPr>
            </w:pPr>
            <w:r>
              <w:rPr>
                <w:rFonts w:ascii="Arial" w:eastAsia="Arial" w:hAnsi="Arial" w:cs="Arial"/>
                <w:sz w:val="18"/>
                <w:szCs w:val="18"/>
              </w:rPr>
              <w:t>Suma de 2025 COMPROMISOS</w:t>
            </w:r>
          </w:p>
        </w:tc>
        <w:tc>
          <w:tcPr>
            <w:tcW w:w="1170" w:type="dxa"/>
            <w:tcBorders>
              <w:top w:val="single" w:sz="5" w:space="0" w:color="000000"/>
              <w:left w:val="single" w:sz="5" w:space="0" w:color="000000"/>
              <w:bottom w:val="single" w:sz="5" w:space="0" w:color="000000"/>
              <w:right w:val="single" w:sz="5" w:space="0" w:color="000000"/>
            </w:tcBorders>
            <w:shd w:val="clear" w:color="auto" w:fill="D9D9D9"/>
            <w:tcMar>
              <w:top w:w="-170" w:type="dxa"/>
              <w:left w:w="-170" w:type="dxa"/>
              <w:bottom w:w="-170" w:type="dxa"/>
              <w:right w:w="-170" w:type="dxa"/>
            </w:tcMar>
          </w:tcPr>
          <w:p w:rsidR="00743DA6" w:rsidRDefault="00D95D19">
            <w:pPr>
              <w:spacing w:before="240" w:after="240"/>
              <w:jc w:val="center"/>
              <w:rPr>
                <w:rFonts w:ascii="Arial" w:eastAsia="Arial" w:hAnsi="Arial" w:cs="Arial"/>
                <w:sz w:val="18"/>
                <w:szCs w:val="18"/>
              </w:rPr>
            </w:pPr>
            <w:r>
              <w:rPr>
                <w:rFonts w:ascii="Arial" w:eastAsia="Arial" w:hAnsi="Arial" w:cs="Arial"/>
                <w:sz w:val="18"/>
                <w:szCs w:val="18"/>
              </w:rPr>
              <w:t>Suma de 2025 GIROS</w:t>
            </w:r>
          </w:p>
        </w:tc>
        <w:tc>
          <w:tcPr>
            <w:tcW w:w="1245" w:type="dxa"/>
            <w:tcBorders>
              <w:top w:val="single" w:sz="5" w:space="0" w:color="000000"/>
              <w:left w:val="single" w:sz="5" w:space="0" w:color="000000"/>
              <w:bottom w:val="single" w:sz="5" w:space="0" w:color="000000"/>
              <w:right w:val="single" w:sz="5" w:space="0" w:color="000000"/>
            </w:tcBorders>
            <w:shd w:val="clear" w:color="auto" w:fill="D9D9D9"/>
            <w:tcMar>
              <w:top w:w="-170" w:type="dxa"/>
              <w:left w:w="-170" w:type="dxa"/>
              <w:bottom w:w="-170" w:type="dxa"/>
              <w:right w:w="-170" w:type="dxa"/>
            </w:tcMar>
          </w:tcPr>
          <w:p w:rsidR="00743DA6" w:rsidRDefault="00D95D19">
            <w:pPr>
              <w:spacing w:before="240" w:after="240"/>
              <w:jc w:val="center"/>
              <w:rPr>
                <w:rFonts w:ascii="Arial" w:eastAsia="Arial" w:hAnsi="Arial" w:cs="Arial"/>
                <w:sz w:val="18"/>
                <w:szCs w:val="18"/>
              </w:rPr>
            </w:pPr>
            <w:r>
              <w:rPr>
                <w:rFonts w:ascii="Arial" w:eastAsia="Arial" w:hAnsi="Arial" w:cs="Arial"/>
                <w:sz w:val="18"/>
                <w:szCs w:val="18"/>
              </w:rPr>
              <w:t xml:space="preserve"> Suma de 2025 PROG </w:t>
            </w:r>
          </w:p>
        </w:tc>
        <w:tc>
          <w:tcPr>
            <w:tcW w:w="1245" w:type="dxa"/>
            <w:tcBorders>
              <w:top w:val="single" w:sz="5" w:space="0" w:color="000000"/>
              <w:left w:val="single" w:sz="5" w:space="0" w:color="000000"/>
              <w:bottom w:val="single" w:sz="5" w:space="0" w:color="000000"/>
              <w:right w:val="single" w:sz="5" w:space="0" w:color="000000"/>
            </w:tcBorders>
            <w:shd w:val="clear" w:color="auto" w:fill="D9D9D9"/>
            <w:tcMar>
              <w:top w:w="-170" w:type="dxa"/>
              <w:left w:w="-170" w:type="dxa"/>
              <w:bottom w:w="-170" w:type="dxa"/>
              <w:right w:w="-170" w:type="dxa"/>
            </w:tcMar>
          </w:tcPr>
          <w:p w:rsidR="00743DA6" w:rsidRDefault="00D95D19">
            <w:pPr>
              <w:spacing w:before="240" w:after="240"/>
              <w:jc w:val="center"/>
              <w:rPr>
                <w:rFonts w:ascii="Arial" w:eastAsia="Arial" w:hAnsi="Arial" w:cs="Arial"/>
                <w:sz w:val="18"/>
                <w:szCs w:val="18"/>
              </w:rPr>
            </w:pPr>
            <w:r>
              <w:rPr>
                <w:rFonts w:ascii="Arial" w:eastAsia="Arial" w:hAnsi="Arial" w:cs="Arial"/>
                <w:sz w:val="18"/>
                <w:szCs w:val="18"/>
              </w:rPr>
              <w:t xml:space="preserve"> Suma de 2026 PROG </w:t>
            </w:r>
          </w:p>
        </w:tc>
        <w:tc>
          <w:tcPr>
            <w:tcW w:w="840" w:type="dxa"/>
            <w:tcBorders>
              <w:top w:val="single" w:sz="5" w:space="0" w:color="000000"/>
              <w:left w:val="single" w:sz="5" w:space="0" w:color="000000"/>
              <w:bottom w:val="single" w:sz="5" w:space="0" w:color="000000"/>
              <w:right w:val="single" w:sz="5" w:space="0" w:color="000000"/>
            </w:tcBorders>
            <w:shd w:val="clear" w:color="auto" w:fill="D9D9D9"/>
            <w:tcMar>
              <w:top w:w="-170" w:type="dxa"/>
              <w:left w:w="-170" w:type="dxa"/>
              <w:bottom w:w="-170" w:type="dxa"/>
              <w:right w:w="-170" w:type="dxa"/>
            </w:tcMar>
          </w:tcPr>
          <w:p w:rsidR="00743DA6" w:rsidRDefault="00D95D19">
            <w:pPr>
              <w:spacing w:before="240" w:after="240"/>
              <w:jc w:val="center"/>
              <w:rPr>
                <w:rFonts w:ascii="Arial" w:eastAsia="Arial" w:hAnsi="Arial" w:cs="Arial"/>
                <w:sz w:val="18"/>
                <w:szCs w:val="18"/>
              </w:rPr>
            </w:pPr>
            <w:r>
              <w:rPr>
                <w:rFonts w:ascii="Arial" w:eastAsia="Arial" w:hAnsi="Arial" w:cs="Arial"/>
                <w:sz w:val="18"/>
                <w:szCs w:val="18"/>
              </w:rPr>
              <w:t xml:space="preserve">Suma de Diferencia PROG </w:t>
            </w:r>
          </w:p>
        </w:tc>
      </w:tr>
      <w:tr w:rsidR="00743DA6">
        <w:trPr>
          <w:trHeight w:val="785"/>
        </w:trPr>
        <w:tc>
          <w:tcPr>
            <w:tcW w:w="2970" w:type="dxa"/>
            <w:tcBorders>
              <w:top w:val="single" w:sz="5" w:space="0" w:color="000000"/>
              <w:left w:val="single" w:sz="5" w:space="0" w:color="000000"/>
              <w:bottom w:val="single" w:sz="5" w:space="0" w:color="000000"/>
              <w:right w:val="single" w:sz="5" w:space="0" w:color="000000"/>
            </w:tcBorders>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Administración y gestión del Talento Humano para garantizar el servicio educativo oficial de Bogotá D.C.</w:t>
            </w:r>
          </w:p>
        </w:tc>
        <w:tc>
          <w:tcPr>
            <w:tcW w:w="130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$2.982.984,77</w:t>
            </w:r>
          </w:p>
        </w:tc>
        <w:tc>
          <w:tcPr>
            <w:tcW w:w="117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$2.866.757,39</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$4.600.373,28</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$4.897.839,84</w:t>
            </w:r>
          </w:p>
        </w:tc>
        <w:tc>
          <w:tcPr>
            <w:tcW w:w="84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$297.466,56</w:t>
            </w:r>
          </w:p>
        </w:tc>
      </w:tr>
      <w:tr w:rsidR="00743DA6">
        <w:trPr>
          <w:trHeight w:val="785"/>
        </w:trPr>
        <w:tc>
          <w:tcPr>
            <w:tcW w:w="2970" w:type="dxa"/>
            <w:tcBorders>
              <w:top w:val="single" w:sz="5" w:space="0" w:color="000000"/>
              <w:left w:val="single" w:sz="5" w:space="0" w:color="000000"/>
              <w:bottom w:val="single" w:sz="5" w:space="0" w:color="000000"/>
              <w:right w:val="single" w:sz="5" w:space="0" w:color="000000"/>
            </w:tcBorders>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Prestación de los servicios administrativos para la operación del sistema educativo oficial y divulgación de la oferta educativa de Bogotá D.C.</w:t>
            </w:r>
          </w:p>
        </w:tc>
        <w:tc>
          <w:tcPr>
            <w:tcW w:w="130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$569.185,51</w:t>
            </w:r>
          </w:p>
        </w:tc>
        <w:tc>
          <w:tcPr>
            <w:tcW w:w="117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$370.622,07</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$588.419,16</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$697.479,00</w:t>
            </w:r>
          </w:p>
        </w:tc>
        <w:tc>
          <w:tcPr>
            <w:tcW w:w="84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$109.059,84</w:t>
            </w:r>
          </w:p>
        </w:tc>
      </w:tr>
      <w:tr w:rsidR="00743DA6">
        <w:trPr>
          <w:trHeight w:val="785"/>
        </w:trPr>
        <w:tc>
          <w:tcPr>
            <w:tcW w:w="2970" w:type="dxa"/>
            <w:tcBorders>
              <w:top w:val="single" w:sz="5" w:space="0" w:color="000000"/>
              <w:left w:val="single" w:sz="5" w:space="0" w:color="000000"/>
              <w:bottom w:val="single" w:sz="5" w:space="0" w:color="000000"/>
              <w:right w:val="single" w:sz="5" w:space="0" w:color="000000"/>
            </w:tcBorders>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Servicio educativo de Cobertura con Equidad en Bogotá D.C.</w:t>
            </w:r>
          </w:p>
        </w:tc>
        <w:tc>
          <w:tcPr>
            <w:tcW w:w="130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$240.182,73</w:t>
            </w:r>
          </w:p>
        </w:tc>
        <w:tc>
          <w:tcPr>
            <w:tcW w:w="117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$181.638,10</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$241.223,31</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$346.884,17</w:t>
            </w:r>
          </w:p>
        </w:tc>
        <w:tc>
          <w:tcPr>
            <w:tcW w:w="84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$105.660,86</w:t>
            </w:r>
          </w:p>
        </w:tc>
      </w:tr>
      <w:tr w:rsidR="00743DA6">
        <w:trPr>
          <w:trHeight w:val="785"/>
        </w:trPr>
        <w:tc>
          <w:tcPr>
            <w:tcW w:w="2970" w:type="dxa"/>
            <w:tcBorders>
              <w:top w:val="single" w:sz="5" w:space="0" w:color="000000"/>
              <w:left w:val="single" w:sz="5" w:space="0" w:color="000000"/>
              <w:bottom w:val="single" w:sz="5" w:space="0" w:color="000000"/>
              <w:right w:val="single" w:sz="5" w:space="0" w:color="000000"/>
            </w:tcBorders>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Mejoramiento del bienestar integral de los estudiantes matriculados en los colegios Oficiales de Bogotá D.C.</w:t>
            </w:r>
          </w:p>
        </w:tc>
        <w:tc>
          <w:tcPr>
            <w:tcW w:w="130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$844.551,29</w:t>
            </w:r>
          </w:p>
        </w:tc>
        <w:tc>
          <w:tcPr>
            <w:tcW w:w="117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$702.592,40</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$964.679,87</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$991.545,77</w:t>
            </w:r>
          </w:p>
        </w:tc>
        <w:tc>
          <w:tcPr>
            <w:tcW w:w="84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$26.865,90</w:t>
            </w:r>
          </w:p>
        </w:tc>
      </w:tr>
      <w:tr w:rsidR="00743DA6">
        <w:trPr>
          <w:trHeight w:val="785"/>
        </w:trPr>
        <w:tc>
          <w:tcPr>
            <w:tcW w:w="2970" w:type="dxa"/>
            <w:tcBorders>
              <w:top w:val="single" w:sz="5" w:space="0" w:color="000000"/>
              <w:left w:val="single" w:sz="5" w:space="0" w:color="000000"/>
              <w:bottom w:val="single" w:sz="5" w:space="0" w:color="000000"/>
              <w:right w:val="single" w:sz="5" w:space="0" w:color="000000"/>
            </w:tcBorders>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Modernización y fortalecimiento de los sistemas de información, incluyendo innovación tecnológica, al servicio de la calidad educativa en los colegios públicos de la ciudad de Bogotá D.C.</w:t>
            </w:r>
          </w:p>
        </w:tc>
        <w:tc>
          <w:tcPr>
            <w:tcW w:w="130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$82.627,57</w:t>
            </w:r>
          </w:p>
        </w:tc>
        <w:tc>
          <w:tcPr>
            <w:tcW w:w="117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$44.892,27</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$88.874,25</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$103.214,65</w:t>
            </w:r>
          </w:p>
        </w:tc>
        <w:tc>
          <w:tcPr>
            <w:tcW w:w="84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$14.340,41</w:t>
            </w:r>
          </w:p>
        </w:tc>
      </w:tr>
      <w:tr w:rsidR="00743DA6">
        <w:trPr>
          <w:trHeight w:val="785"/>
        </w:trPr>
        <w:tc>
          <w:tcPr>
            <w:tcW w:w="2970" w:type="dxa"/>
            <w:tcBorders>
              <w:top w:val="single" w:sz="5" w:space="0" w:color="000000"/>
              <w:left w:val="single" w:sz="5" w:space="0" w:color="000000"/>
              <w:bottom w:val="single" w:sz="5" w:space="0" w:color="000000"/>
              <w:right w:val="single" w:sz="5" w:space="0" w:color="000000"/>
            </w:tcBorders>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Fortalecimiento de la atención integral a la primera infancia en los colegios de Bogotá D.C.</w:t>
            </w:r>
          </w:p>
        </w:tc>
        <w:tc>
          <w:tcPr>
            <w:tcW w:w="130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$32.848,58</w:t>
            </w:r>
          </w:p>
        </w:tc>
        <w:tc>
          <w:tcPr>
            <w:tcW w:w="117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$25.666,42</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$33.792,96</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$43.380,00</w:t>
            </w:r>
          </w:p>
        </w:tc>
        <w:tc>
          <w:tcPr>
            <w:tcW w:w="84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$9.587,04</w:t>
            </w:r>
          </w:p>
        </w:tc>
      </w:tr>
      <w:tr w:rsidR="00743DA6">
        <w:trPr>
          <w:trHeight w:val="785"/>
        </w:trPr>
        <w:tc>
          <w:tcPr>
            <w:tcW w:w="2970" w:type="dxa"/>
            <w:tcBorders>
              <w:top w:val="single" w:sz="5" w:space="0" w:color="000000"/>
              <w:left w:val="single" w:sz="5" w:space="0" w:color="000000"/>
              <w:bottom w:val="single" w:sz="5" w:space="0" w:color="000000"/>
              <w:right w:val="single" w:sz="5" w:space="0" w:color="000000"/>
            </w:tcBorders>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Fortalecimiento de los aprendizajes de los estudiantes matriculados en los colegios oficiales en el marco de una educación de calidad, inclusiva y equitativa en Bogotá D.C.</w:t>
            </w:r>
          </w:p>
        </w:tc>
        <w:tc>
          <w:tcPr>
            <w:tcW w:w="130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$120.938,23</w:t>
            </w:r>
          </w:p>
        </w:tc>
        <w:tc>
          <w:tcPr>
            <w:tcW w:w="117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$90.608,73</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$138.744,16</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$147.329,93</w:t>
            </w:r>
          </w:p>
        </w:tc>
        <w:tc>
          <w:tcPr>
            <w:tcW w:w="84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$8.585,78</w:t>
            </w:r>
          </w:p>
        </w:tc>
      </w:tr>
      <w:tr w:rsidR="00743DA6">
        <w:trPr>
          <w:trHeight w:val="785"/>
        </w:trPr>
        <w:tc>
          <w:tcPr>
            <w:tcW w:w="2970" w:type="dxa"/>
            <w:tcBorders>
              <w:top w:val="single" w:sz="5" w:space="0" w:color="000000"/>
              <w:left w:val="single" w:sz="5" w:space="0" w:color="000000"/>
              <w:bottom w:val="single" w:sz="5" w:space="0" w:color="000000"/>
              <w:right w:val="single" w:sz="5" w:space="0" w:color="000000"/>
            </w:tcBorders>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Consolidación de las trayectorias educativas en condiciones de calidad de las niñas, niños, adolescentes, jóvenes y adultos para una educación que te responde en Bogotá D.C.</w:t>
            </w:r>
          </w:p>
        </w:tc>
        <w:tc>
          <w:tcPr>
            <w:tcW w:w="130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$16.062,90</w:t>
            </w:r>
          </w:p>
        </w:tc>
        <w:tc>
          <w:tcPr>
            <w:tcW w:w="117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$11.080,80</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$17.611,84</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$19.427,00</w:t>
            </w:r>
          </w:p>
        </w:tc>
        <w:tc>
          <w:tcPr>
            <w:tcW w:w="84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$1.815,16</w:t>
            </w:r>
          </w:p>
        </w:tc>
      </w:tr>
      <w:tr w:rsidR="00743DA6">
        <w:trPr>
          <w:trHeight w:val="785"/>
        </w:trPr>
        <w:tc>
          <w:tcPr>
            <w:tcW w:w="2970" w:type="dxa"/>
            <w:tcBorders>
              <w:top w:val="single" w:sz="5" w:space="0" w:color="000000"/>
              <w:left w:val="single" w:sz="5" w:space="0" w:color="000000"/>
              <w:bottom w:val="single" w:sz="5" w:space="0" w:color="000000"/>
              <w:right w:val="single" w:sz="5" w:space="0" w:color="000000"/>
            </w:tcBorders>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Desarrollo y fortalecimiento de las habilidades comunicativas en lengua extranjera de los estudiantes matriculados en los colegios oficiales en el marco de una educación de calidad. Bogotá D.C.</w:t>
            </w:r>
          </w:p>
        </w:tc>
        <w:tc>
          <w:tcPr>
            <w:tcW w:w="130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$8.826,09</w:t>
            </w:r>
          </w:p>
        </w:tc>
        <w:tc>
          <w:tcPr>
            <w:tcW w:w="117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$3.696,47</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$8.974,05</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$8.586,00</w:t>
            </w:r>
          </w:p>
        </w:tc>
        <w:tc>
          <w:tcPr>
            <w:tcW w:w="84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-$388,05</w:t>
            </w:r>
          </w:p>
        </w:tc>
      </w:tr>
      <w:tr w:rsidR="00743DA6">
        <w:trPr>
          <w:trHeight w:val="785"/>
        </w:trPr>
        <w:tc>
          <w:tcPr>
            <w:tcW w:w="2970" w:type="dxa"/>
            <w:tcBorders>
              <w:top w:val="single" w:sz="5" w:space="0" w:color="000000"/>
              <w:left w:val="single" w:sz="5" w:space="0" w:color="000000"/>
              <w:bottom w:val="single" w:sz="5" w:space="0" w:color="000000"/>
              <w:right w:val="single" w:sz="5" w:space="0" w:color="000000"/>
            </w:tcBorders>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Implementación del programa de convivencia y salud mental en las comunidades educativas y entornos priorizados en Bogotá D.C.</w:t>
            </w:r>
          </w:p>
        </w:tc>
        <w:tc>
          <w:tcPr>
            <w:tcW w:w="130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$36.173,35</w:t>
            </w:r>
          </w:p>
        </w:tc>
        <w:tc>
          <w:tcPr>
            <w:tcW w:w="117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$23.428,88</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$39.641,31</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$37.884,00</w:t>
            </w:r>
          </w:p>
        </w:tc>
        <w:tc>
          <w:tcPr>
            <w:tcW w:w="84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-$1.757,31</w:t>
            </w:r>
          </w:p>
        </w:tc>
      </w:tr>
      <w:tr w:rsidR="00743DA6">
        <w:trPr>
          <w:trHeight w:val="785"/>
        </w:trPr>
        <w:tc>
          <w:tcPr>
            <w:tcW w:w="2970" w:type="dxa"/>
            <w:tcBorders>
              <w:top w:val="single" w:sz="5" w:space="0" w:color="000000"/>
              <w:left w:val="single" w:sz="5" w:space="0" w:color="000000"/>
              <w:bottom w:val="single" w:sz="5" w:space="0" w:color="000000"/>
              <w:right w:val="single" w:sz="5" w:space="0" w:color="000000"/>
            </w:tcBorders>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Fortalecimiento de la infraestructura y dotación de ambientes de aprendizaje y sedes administrativas a cargo de la Secretaría de Educación de Bogotá D.C.</w:t>
            </w:r>
          </w:p>
        </w:tc>
        <w:tc>
          <w:tcPr>
            <w:tcW w:w="130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$ 310.495,95</w:t>
            </w:r>
          </w:p>
        </w:tc>
        <w:tc>
          <w:tcPr>
            <w:tcW w:w="117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$182.312,17</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$429.571,54</w:t>
            </w:r>
          </w:p>
        </w:tc>
        <w:tc>
          <w:tcPr>
            <w:tcW w:w="1245"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$275.816,85</w:t>
            </w:r>
          </w:p>
        </w:tc>
        <w:tc>
          <w:tcPr>
            <w:tcW w:w="840" w:type="dxa"/>
            <w:tcBorders>
              <w:top w:val="single" w:sz="5" w:space="0" w:color="000000"/>
              <w:left w:val="single" w:sz="5" w:space="0" w:color="000000"/>
              <w:bottom w:val="single" w:sz="5" w:space="0" w:color="000000"/>
              <w:right w:val="single" w:sz="5" w:space="0" w:color="000000"/>
            </w:tcBorders>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-$153.754,69</w:t>
            </w:r>
          </w:p>
        </w:tc>
      </w:tr>
      <w:tr w:rsidR="00743DA6">
        <w:trPr>
          <w:trHeight w:val="650"/>
        </w:trPr>
        <w:tc>
          <w:tcPr>
            <w:tcW w:w="2970" w:type="dxa"/>
            <w:tcBorders>
              <w:top w:val="single" w:sz="5" w:space="0" w:color="000000"/>
              <w:left w:val="single" w:sz="5" w:space="0" w:color="000000"/>
              <w:bottom w:val="single" w:sz="5" w:space="0" w:color="000000"/>
              <w:right w:val="single" w:sz="5" w:space="0" w:color="000000"/>
            </w:tcBorders>
            <w:shd w:val="clear" w:color="auto" w:fill="FFFFFF"/>
            <w:tcMar>
              <w:top w:w="-170" w:type="dxa"/>
              <w:left w:w="-170" w:type="dxa"/>
              <w:bottom w:w="-170" w:type="dxa"/>
              <w:right w:w="-170" w:type="dxa"/>
            </w:tcMar>
          </w:tcPr>
          <w:p w:rsidR="00743DA6" w:rsidRDefault="00D95D19">
            <w:pPr>
              <w:spacing w:before="240" w:after="240"/>
              <w:jc w:val="both"/>
              <w:rPr>
                <w:rFonts w:ascii="Arial" w:eastAsia="Arial" w:hAnsi="Arial" w:cs="Arial"/>
                <w:sz w:val="18"/>
                <w:szCs w:val="18"/>
              </w:rPr>
            </w:pPr>
            <w:r>
              <w:rPr>
                <w:rFonts w:ascii="Arial" w:eastAsia="Arial" w:hAnsi="Arial" w:cs="Arial"/>
                <w:sz w:val="18"/>
                <w:szCs w:val="18"/>
              </w:rPr>
              <w:t>Total general</w:t>
            </w:r>
          </w:p>
        </w:tc>
        <w:tc>
          <w:tcPr>
            <w:tcW w:w="1305" w:type="dxa"/>
            <w:tcBorders>
              <w:top w:val="single" w:sz="5" w:space="0" w:color="000000"/>
              <w:left w:val="single" w:sz="5" w:space="0" w:color="000000"/>
              <w:bottom w:val="single" w:sz="5" w:space="0" w:color="000000"/>
              <w:right w:val="single" w:sz="5" w:space="0" w:color="000000"/>
            </w:tcBorders>
            <w:shd w:val="clear" w:color="auto" w:fill="FFFFFF"/>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$5.244.876,96</w:t>
            </w:r>
          </w:p>
        </w:tc>
        <w:tc>
          <w:tcPr>
            <w:tcW w:w="1170" w:type="dxa"/>
            <w:tcBorders>
              <w:top w:val="single" w:sz="5" w:space="0" w:color="000000"/>
              <w:left w:val="single" w:sz="5" w:space="0" w:color="000000"/>
              <w:bottom w:val="single" w:sz="5" w:space="0" w:color="000000"/>
              <w:right w:val="single" w:sz="5" w:space="0" w:color="000000"/>
            </w:tcBorders>
            <w:shd w:val="clear" w:color="auto" w:fill="FFFFFF"/>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$4.503.295,70</w:t>
            </w:r>
          </w:p>
        </w:tc>
        <w:tc>
          <w:tcPr>
            <w:tcW w:w="1245" w:type="dxa"/>
            <w:tcBorders>
              <w:top w:val="single" w:sz="5" w:space="0" w:color="000000"/>
              <w:left w:val="single" w:sz="5" w:space="0" w:color="000000"/>
              <w:bottom w:val="single" w:sz="5" w:space="0" w:color="000000"/>
              <w:right w:val="single" w:sz="5" w:space="0" w:color="000000"/>
            </w:tcBorders>
            <w:shd w:val="clear" w:color="auto" w:fill="FFFFFF"/>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$7.151.905,72</w:t>
            </w:r>
          </w:p>
        </w:tc>
        <w:tc>
          <w:tcPr>
            <w:tcW w:w="1245" w:type="dxa"/>
            <w:tcBorders>
              <w:top w:val="single" w:sz="5" w:space="0" w:color="000000"/>
              <w:left w:val="single" w:sz="5" w:space="0" w:color="000000"/>
              <w:bottom w:val="single" w:sz="5" w:space="0" w:color="000000"/>
              <w:right w:val="single" w:sz="5" w:space="0" w:color="000000"/>
            </w:tcBorders>
            <w:shd w:val="clear" w:color="auto" w:fill="FFFFFF"/>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$ 7.569.387,21</w:t>
            </w:r>
          </w:p>
        </w:tc>
        <w:tc>
          <w:tcPr>
            <w:tcW w:w="840" w:type="dxa"/>
            <w:tcBorders>
              <w:top w:val="single" w:sz="5" w:space="0" w:color="000000"/>
              <w:left w:val="single" w:sz="5" w:space="0" w:color="000000"/>
              <w:bottom w:val="single" w:sz="5" w:space="0" w:color="000000"/>
              <w:right w:val="single" w:sz="5" w:space="0" w:color="000000"/>
            </w:tcBorders>
            <w:shd w:val="clear" w:color="auto" w:fill="FFFFFF"/>
            <w:tcMar>
              <w:top w:w="-283" w:type="dxa"/>
              <w:left w:w="-283" w:type="dxa"/>
              <w:bottom w:w="-283" w:type="dxa"/>
              <w:right w:w="-283" w:type="dxa"/>
            </w:tcMar>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xml:space="preserve"> $417.481,48</w:t>
            </w:r>
          </w:p>
        </w:tc>
      </w:tr>
    </w:tbl>
    <w:p w:rsidR="00743DA6" w:rsidRDefault="00D95D19">
      <w:pPr>
        <w:spacing w:before="240" w:after="240" w:line="276" w:lineRule="auto"/>
        <w:jc w:val="center"/>
        <w:rPr>
          <w:sz w:val="18"/>
          <w:szCs w:val="18"/>
        </w:rPr>
      </w:pPr>
      <w:r>
        <w:rPr>
          <w:b/>
          <w:bCs/>
          <w:sz w:val="18"/>
          <w:szCs w:val="18"/>
        </w:rPr>
        <w:t>Fuente:</w:t>
      </w:r>
      <w:r>
        <w:rPr>
          <w:sz w:val="18"/>
          <w:szCs w:val="18"/>
        </w:rPr>
        <w:t xml:space="preserve"> Elaboración propia (2025) Con base en la información suministrada por parte de la SDH. </w:t>
      </w:r>
    </w:p>
    <w:p w:rsidR="00743DA6" w:rsidRDefault="00D95D19">
      <w:pPr>
        <w:spacing w:before="240" w:after="240" w:line="276" w:lineRule="auto"/>
        <w:jc w:val="both"/>
        <w:rPr>
          <w:sz w:val="22"/>
          <w:szCs w:val="22"/>
        </w:rPr>
      </w:pPr>
      <w:r>
        <w:rPr>
          <w:sz w:val="22"/>
          <w:szCs w:val="22"/>
        </w:rPr>
        <w:t>La lectura agregada de la programación y la ejecución presupuestal de la Secretaría de Educación revela un conjunto de tensiones profundas que atraviesan el modelo educativo distrital. Aunque las metas reportan avances elevados, la estructura financiera y operativa evidencia un sistema que crece en recursos, pero también en desequilibrios. En primer lugar, el bienestar escolar, que debería constituirse en un componente robusto y estable, se sostiene sobre un PAE que apenas aumenta 3,88% entre 2025 y 2026, una variación nominal que resulta insuficiente frente a los costos reales de alimentos, la presión logística y la expansión demográfica. A ello se suma un aspecto crítico: el programa opera bajo reserva contractual, lo que limita la capacidad de evaluar eficiencia, calidad y cobertura mediante criterios verificables. En consecuencia, la mayor línea presupuestal del bienestar escolar termina siendo también la menos auditable, abriendo un vacío significativo entre la retórica de garantía y la supervisión pública efectiva.</w:t>
      </w:r>
    </w:p>
    <w:p w:rsidR="00743DA6" w:rsidRDefault="00D95D19">
      <w:pPr>
        <w:spacing w:before="240" w:after="240" w:line="276" w:lineRule="auto"/>
        <w:jc w:val="both"/>
        <w:rPr>
          <w:sz w:val="22"/>
          <w:szCs w:val="22"/>
        </w:rPr>
      </w:pPr>
      <w:r>
        <w:rPr>
          <w:sz w:val="22"/>
          <w:szCs w:val="22"/>
        </w:rPr>
        <w:t>Asimismo, surge un segundo foco de tensión con el recorte a la movilidad escolar, que disminuye 8,7% pese a su centralidad para el acceso educativo en ruralidad y periferias. No solo se trata de la única actividad reducida, sino que además presenta una de las ejecuciones más bajas del año. La combinación de reducción y subejecución afecta directamente la capacidad de garantizar asistencia efectiva de estudiantes en territorios con mayores barreras geográficas. Paralelamente, incrementos puntuales en rubros menores, como vida saludable, no logran equilibrar las fragilidades estructurales de los componentes más determinantes del bienestar escolar.</w:t>
      </w:r>
    </w:p>
    <w:p w:rsidR="00743DA6" w:rsidRDefault="00D95D19">
      <w:pPr>
        <w:spacing w:before="240" w:after="240" w:line="276" w:lineRule="auto"/>
        <w:jc w:val="both"/>
        <w:rPr>
          <w:sz w:val="22"/>
          <w:szCs w:val="22"/>
        </w:rPr>
      </w:pPr>
      <w:r>
        <w:rPr>
          <w:sz w:val="22"/>
          <w:szCs w:val="22"/>
        </w:rPr>
        <w:t>Sumado a lo anterior, la política de talento humano muestra un diseño tensionado. Aunque formalmente se cumplen metas como la vinculación de 250 orientadores adicionales, los giros alcanzan apenas 70,5%, lo que evidencia dificultades operativas en un componente que debería tener ejecución plena. Además, el crecimiento del 23% en la programación 2026 parece responder más a una subestimación de necesidades en 2025 que a una apuesta real de fortalecimiento. Un fenómeno similar se observa en educación inicial: mientras la planta docente registra incrementos moderados, aparecen señales claras de tercerización de procesos pedagógicos, de evaluación y acompañamiento, visibles en la introducción del esquema de evaluación docente impulsado por SED, SDIS y United Way en preescolar mediante instrumentos externos del llamado “marco profesoral”, que desplaza funciones propias del sector público hacia operadores privados bajo la lógica del “aseguramiento de la calidad”. A esto se suma un salto presupuestal de más del 200% en la atención inicial sin giros previos, un movimiento que no responde ni a dinámicas demográficas ni a un plan público de ampliación, sino a una posible reorientación hacia servicios externalizados.</w:t>
      </w:r>
    </w:p>
    <w:p w:rsidR="00743DA6" w:rsidRDefault="00D95D19">
      <w:pPr>
        <w:spacing w:before="240" w:after="240" w:line="276" w:lineRule="auto"/>
        <w:jc w:val="both"/>
        <w:rPr>
          <w:sz w:val="22"/>
          <w:szCs w:val="22"/>
        </w:rPr>
      </w:pPr>
      <w:r>
        <w:rPr>
          <w:sz w:val="22"/>
          <w:szCs w:val="22"/>
        </w:rPr>
        <w:t>De manera simultánea, el análisis de las trayectorias educativas revela otra contradicción profunda. Aunque se fortalecen líneas asociadas a articulación institucional, especialmente con posmedia – a pesar de que es una meta que debería estar asociada a Atenea -, se reduce de manera drástica (–39,6%) el presupuesto de nivelación y recuperación de aprendizajes, pese a ser la intervención más directamente asociada con permanencia y culminación escolar. La evidencia comparada es contundente: el rezago académico es el principal predictor de deserción. Por lo tanto, privilegiar componentes administrativos en detrimento de intervenciones pedagógicas directas genera una fractura entre la narrativa de continuidad educativa y las condiciones materiales para lograrla.</w:t>
      </w:r>
    </w:p>
    <w:p w:rsidR="00743DA6" w:rsidRDefault="00D95D19">
      <w:pPr>
        <w:spacing w:before="240" w:after="240" w:line="276" w:lineRule="auto"/>
        <w:jc w:val="both"/>
        <w:rPr>
          <w:sz w:val="22"/>
          <w:szCs w:val="22"/>
        </w:rPr>
      </w:pPr>
      <w:r>
        <w:rPr>
          <w:sz w:val="22"/>
          <w:szCs w:val="22"/>
        </w:rPr>
        <w:t>A su vez, la meta más estructural del sistema, garantizar el servicio educativo oportunamente, confirma estas tensiones. Aunque la nómina docente y administrativa debería constituir un pilar estable, la ejecución de giros apenas alcanza 62,7%, lo que sugiere demoras en nombramientos, vacantes prolongadas o rezagos en el reconocimiento de obligaciones. En contravía, las estrategias de permanencia prácticamente no se ejecutan en 2025, pero triplican su programación para 2026, un comportamiento que parece responder más a ajustes presupuestales que a una política sistemática de cierre de brechas. Mientras esto ocurre, los colegios bajo administración del servicio educativo presentan ejecuciones altas y recursos crecientes, lo que consolida un modelo delegado que avanza con mayor estabilidad que la planta pública, aun en un entorno de subejecución generalizada. Esto configura una asimetría interna: la educación pública directa enfrenta rezagos, mientras los esquemas concesionados se blindan presupuestalmente.</w:t>
      </w:r>
    </w:p>
    <w:p w:rsidR="00743DA6" w:rsidRDefault="00D95D19">
      <w:pPr>
        <w:spacing w:before="240" w:after="240" w:line="276" w:lineRule="auto"/>
        <w:jc w:val="both"/>
        <w:rPr>
          <w:sz w:val="22"/>
          <w:szCs w:val="22"/>
        </w:rPr>
      </w:pPr>
      <w:r>
        <w:rPr>
          <w:sz w:val="22"/>
          <w:szCs w:val="22"/>
        </w:rPr>
        <w:t>En paralelo, la infraestructura educativa, una dimensión estratégica para ampliar cobertura, reducir hacinamiento y garantizar ambientes adecuados, presenta los recortes más severos del sector. La inversión en colegios nuevos cae 42,9%, la restitución 20,1%, el mantenimiento 35,2% y la dotación 31,9%, todo ello acompañado de ejecuciones 2025 particularmente bajas, especialmente en mantenimiento (7,7%). Tales reducciones implican menos predios, menos diseños, menos obras y menos capacidad para atender emergencias, un mensaje especialmente sensible para localidades como Usme, Ciudad Bolívar y San Cristóbal, donde la infraestructura no es solo una variable administrativa, sino una condición de riesgo</w:t>
      </w:r>
    </w:p>
    <w:p w:rsidR="00743DA6" w:rsidRDefault="00D95D19">
      <w:pPr>
        <w:spacing w:before="240" w:after="240" w:line="276" w:lineRule="auto"/>
        <w:jc w:val="both"/>
      </w:pPr>
      <w:r>
        <w:rPr>
          <w:sz w:val="22"/>
          <w:szCs w:val="22"/>
        </w:rPr>
        <w:t>En conjunto, estos elementos configuran un patrón claro: el presupuesto del sector crece, pero su orientación interna tiende a privilegiar componentes operativos, administrativos y delegados, mientras se debilitan dimensiones estructurales como permanencia real, nivelación, infraestructura, fortalecimiento docente, investigación educativa y acceso equitativo. En definitiva, la tensión no radica en la  magnitud del recurso, sino en el modelo que se consolida con él. Ese cambio de enfoque ,más que el monto, define el giro estratégico del sector y abre un debate sustantivo sobre el rumbo educativo de la ciudad.</w:t>
      </w:r>
    </w:p>
    <w:p w:rsidR="00743DA6" w:rsidRDefault="00D95D19">
      <w:pPr>
        <w:pBdr>
          <w:top w:val="nil"/>
          <w:left w:val="nil"/>
          <w:bottom w:val="nil"/>
          <w:right w:val="nil"/>
          <w:between w:val="nil"/>
        </w:pBdr>
        <w:spacing w:line="259" w:lineRule="auto"/>
        <w:rPr>
          <w:b/>
          <w:bCs/>
          <w:sz w:val="22"/>
          <w:szCs w:val="22"/>
        </w:rPr>
      </w:pPr>
      <w:r>
        <w:rPr>
          <w:b/>
          <w:bCs/>
          <w:color w:val="000000"/>
          <w:sz w:val="22"/>
          <w:szCs w:val="22"/>
        </w:rPr>
        <w:t>Agencia Distrital para la Educación Superior, la Ciencia y la Tecnología</w:t>
      </w:r>
    </w:p>
    <w:p w:rsidR="00743DA6" w:rsidRDefault="00D95D19">
      <w:pPr>
        <w:spacing w:before="240" w:after="240" w:line="276" w:lineRule="auto"/>
        <w:jc w:val="both"/>
        <w:rPr>
          <w:sz w:val="22"/>
          <w:szCs w:val="22"/>
        </w:rPr>
      </w:pPr>
      <w:r>
        <w:rPr>
          <w:sz w:val="22"/>
          <w:szCs w:val="22"/>
        </w:rPr>
        <w:t xml:space="preserve">Dentro del comportamiento global del sector educativo, ATENEA sobresale como la entidad que más altera la composición interna del gasto distrital. Su crecimiento no solo es acelerado, sino decisivo para entender hacia dónde se está moviendo la política educativa de la ciudad. Según la </w:t>
      </w:r>
      <w:r>
        <w:rPr>
          <w:i/>
          <w:iCs/>
          <w:sz w:val="22"/>
          <w:szCs w:val="22"/>
        </w:rPr>
        <w:t>Exposición de Motivos del Proyecto de Presupuesto 2026</w:t>
      </w:r>
      <w:r>
        <w:rPr>
          <w:sz w:val="22"/>
          <w:szCs w:val="22"/>
        </w:rPr>
        <w:t xml:space="preserve"> (Alcaldía Mayor de Bogotá–Secretaría Distrital de Hacienda, 2025), ATENEA pasa de administrar $539,4 mil millones en 2022 a una proyección de $768,4 mil millones para 2026, un incremento del 42% que no se explica únicamente por la expansión natural de la demanda, sino por un reposicionamiento institucional. En funcionamiento, la agencia prácticamente duplica su tamaño en cuatro años: de $6.091 millones a $14.007 millones, una señal de que la estructura administrativa está creciendo más rápido que la capacidad real de ejecución.</w:t>
      </w:r>
    </w:p>
    <w:p w:rsidR="00743DA6" w:rsidRDefault="00D95D19">
      <w:pPr>
        <w:spacing w:before="240" w:after="240" w:line="276" w:lineRule="auto"/>
        <w:jc w:val="both"/>
        <w:rPr>
          <w:sz w:val="22"/>
          <w:szCs w:val="22"/>
        </w:rPr>
      </w:pPr>
      <w:r>
        <w:rPr>
          <w:sz w:val="22"/>
          <w:szCs w:val="22"/>
        </w:rPr>
        <w:t xml:space="preserve">Tal como se observa en la gráfica </w:t>
      </w:r>
      <w:r>
        <w:rPr>
          <w:i/>
          <w:iCs/>
          <w:sz w:val="22"/>
          <w:szCs w:val="22"/>
        </w:rPr>
        <w:t>Evolución del Presupuesto de ATENEA (2022–2026)</w:t>
      </w:r>
      <w:r>
        <w:rPr>
          <w:sz w:val="22"/>
          <w:szCs w:val="22"/>
        </w:rPr>
        <w:t>, este aumento sostenido no es neutro: consolida un modelo centrado en la posmedia y en programas como Jóvenes a la E, cuya lógica de intermediación contractual desplaza gradualmente la oferta pública directa y fragmenta la continuidad educativa entre la media y la superior. Sin embargo, ese crecimiento presupuestal contrasta con un desempeño operativo limitado: en 2025, ATENEA registra la apropiación más alta del cuatrienio ($721,4 mil millones entre funcionamiento e inversión), pero solo compromete $488,6 mil millones, es decir, una brecha del 32% frente a lo programado. Esta distancia, más profunda que la observada en la SED, evidencia que el impulso financiero no está siendo acompañado por una capacidad equivalente de gestión, lo que introduce tensiones sobre la sostenibilidad y pertinencia del modelo. En términos de ciudad, la apuesta por masificar la posmedia a través de operadores externos y programas altamente tercerizados puede terminar definiendo el rumbo educativo del Distrito sin que exista un debate público sobre sus impactos, resultados o costos reales.</w:t>
      </w:r>
    </w:p>
    <w:p w:rsidR="00743DA6" w:rsidRDefault="00743DA6">
      <w:pPr>
        <w:spacing w:before="240" w:after="240" w:line="276" w:lineRule="auto"/>
        <w:jc w:val="both"/>
        <w:rPr>
          <w:sz w:val="22"/>
          <w:szCs w:val="22"/>
        </w:rPr>
      </w:pPr>
    </w:p>
    <w:p w:rsidR="00743DA6" w:rsidRDefault="00D95D19">
      <w:pPr>
        <w:spacing w:before="240" w:after="240" w:line="276" w:lineRule="auto"/>
        <w:jc w:val="center"/>
        <w:rPr>
          <w:b/>
          <w:bCs/>
          <w:sz w:val="22"/>
          <w:szCs w:val="22"/>
        </w:rPr>
      </w:pPr>
      <w:r>
        <w:rPr>
          <w:b/>
          <w:bCs/>
          <w:sz w:val="22"/>
          <w:szCs w:val="22"/>
        </w:rPr>
        <w:t xml:space="preserve">Gráfica 5. Evolución del presupuesto de Funcionamiento de ATENEA (2002 - 20026)   </w:t>
      </w:r>
    </w:p>
    <w:p w:rsidR="00743DA6" w:rsidRDefault="00D95D19">
      <w:pPr>
        <w:spacing w:before="240" w:after="240" w:line="276" w:lineRule="auto"/>
        <w:jc w:val="center"/>
        <w:rPr>
          <w:sz w:val="18"/>
          <w:szCs w:val="18"/>
        </w:rPr>
      </w:pPr>
      <w:r>
        <w:rPr>
          <w:noProof/>
          <w:lang w:val="es-CO"/>
        </w:rPr>
        <w:drawing>
          <wp:inline distT="114300" distB="114300" distL="114300" distR="114300">
            <wp:extent cx="5612130" cy="3035300"/>
            <wp:effectExtent l="0" t="0" r="0" b="0"/>
            <wp:docPr id="2127399628"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19"/>
                    <a:srcRect/>
                    <a:stretch>
                      <a:fillRect/>
                    </a:stretch>
                  </pic:blipFill>
                  <pic:spPr>
                    <a:xfrm>
                      <a:off x="0" y="0"/>
                      <a:ext cx="5612130" cy="3035300"/>
                    </a:xfrm>
                    <a:prstGeom prst="rect">
                      <a:avLst/>
                    </a:prstGeom>
                    <a:ln/>
                  </pic:spPr>
                </pic:pic>
              </a:graphicData>
            </a:graphic>
          </wp:inline>
        </w:drawing>
      </w:r>
      <w:r>
        <w:rPr>
          <w:b/>
          <w:bCs/>
          <w:sz w:val="18"/>
          <w:szCs w:val="18"/>
        </w:rPr>
        <w:t xml:space="preserve">Fuente: </w:t>
      </w:r>
      <w:r>
        <w:rPr>
          <w:sz w:val="18"/>
          <w:szCs w:val="18"/>
        </w:rPr>
        <w:t>Elaboración propia (2025) Con base en la información suministrada por parte de la SDH: Comparativo presupuesto anual por entidades 2022-2026</w:t>
      </w:r>
    </w:p>
    <w:p w:rsidR="00743DA6" w:rsidRDefault="00D95D19">
      <w:pPr>
        <w:spacing w:before="240" w:after="240" w:line="276" w:lineRule="auto"/>
        <w:jc w:val="center"/>
        <w:rPr>
          <w:sz w:val="18"/>
          <w:szCs w:val="18"/>
        </w:rPr>
      </w:pPr>
      <w:r>
        <w:rPr>
          <w:b/>
          <w:bCs/>
          <w:sz w:val="22"/>
          <w:szCs w:val="22"/>
        </w:rPr>
        <w:t>Gráfica 6. Evolución del presupuesto de la inversión directa de ATENEA (2002 - 20026)</w:t>
      </w:r>
    </w:p>
    <w:p w:rsidR="00743DA6" w:rsidRDefault="00D95D19">
      <w:pPr>
        <w:spacing w:before="240" w:after="240" w:line="276" w:lineRule="auto"/>
        <w:jc w:val="center"/>
      </w:pPr>
      <w:r>
        <w:rPr>
          <w:noProof/>
          <w:lang w:val="es-CO"/>
        </w:rPr>
        <w:drawing>
          <wp:inline distT="114300" distB="114300" distL="114300" distR="114300">
            <wp:extent cx="5249228" cy="2844094"/>
            <wp:effectExtent l="0" t="0" r="0" b="0"/>
            <wp:docPr id="212739961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0"/>
                    <a:srcRect/>
                    <a:stretch>
                      <a:fillRect/>
                    </a:stretch>
                  </pic:blipFill>
                  <pic:spPr>
                    <a:xfrm>
                      <a:off x="0" y="0"/>
                      <a:ext cx="5249228" cy="2844094"/>
                    </a:xfrm>
                    <a:prstGeom prst="rect">
                      <a:avLst/>
                    </a:prstGeom>
                    <a:ln/>
                  </pic:spPr>
                </pic:pic>
              </a:graphicData>
            </a:graphic>
          </wp:inline>
        </w:drawing>
      </w:r>
    </w:p>
    <w:p w:rsidR="00743DA6" w:rsidRDefault="00D95D19">
      <w:pPr>
        <w:spacing w:before="240" w:after="240" w:line="276" w:lineRule="auto"/>
        <w:jc w:val="center"/>
      </w:pPr>
      <w:r>
        <w:rPr>
          <w:b/>
          <w:bCs/>
          <w:sz w:val="18"/>
          <w:szCs w:val="18"/>
        </w:rPr>
        <w:t xml:space="preserve">Fuente: </w:t>
      </w:r>
      <w:r>
        <w:rPr>
          <w:sz w:val="18"/>
          <w:szCs w:val="18"/>
        </w:rPr>
        <w:t>Elaboración propia (2025) con base en la información suministrada por parte de la SDH: Comparativo presupuesto anual por entidades 2022-2026</w:t>
      </w:r>
    </w:p>
    <w:p w:rsidR="00743DA6" w:rsidRDefault="00D95D19">
      <w:pPr>
        <w:spacing w:before="240" w:after="240" w:line="276" w:lineRule="auto"/>
        <w:jc w:val="both"/>
        <w:rPr>
          <w:sz w:val="22"/>
          <w:szCs w:val="22"/>
        </w:rPr>
      </w:pPr>
      <w:r>
        <w:rPr>
          <w:sz w:val="22"/>
          <w:szCs w:val="22"/>
        </w:rPr>
        <w:t>La gráfica “Evolución del Presupuesto de ATENEA (2022–2026)” permite visualizar con claridad la trayectoria descrita. Entre 2022 y 2026, tanto el presupuesto inicial como los compromisos presentan incrementos relevantes, pero con una brecha creciente entre uno y otro. En inversión directa, el componente más estructurante de ATENEA, el presupuesto inicial pasa de $533,3 mil millones en 2022 a $754,4 mil millones proyectados en 2026, mientras que los compromisos muestran un comportamiento mucho más irregular: caen desde $243,5 mil millones en 2022 hasta $479,2 mil millones en 2025, lejos del tamaño del presupuesto programado. Esta divergencia evidencia que el incremento de recursos no se traduce en una expansión proporcional de la gestión y que, en varias vigencias, ATENEA ha ejecutado menos de la mitad de lo apropiado, incluso en programas de alta sensibilidad social como Jóvenes a la E o la oferta de educación posmedia.</w:t>
      </w:r>
    </w:p>
    <w:p w:rsidR="00743DA6" w:rsidRDefault="00D95D19">
      <w:pPr>
        <w:spacing w:before="240" w:after="240" w:line="276" w:lineRule="auto"/>
        <w:jc w:val="both"/>
        <w:rPr>
          <w:sz w:val="22"/>
          <w:szCs w:val="22"/>
        </w:rPr>
      </w:pPr>
      <w:r>
        <w:rPr>
          <w:sz w:val="22"/>
          <w:szCs w:val="22"/>
        </w:rPr>
        <w:t>En funcionamiento, la tendencia es similar: aunque el presupuesto inicial casi se duplica en cuatro años, los compromisos de 2025 retroceden a niveles inferiores a los de 2023, revelando que la ampliación del aparato administrativo aún no consolida una capacidad operativa equivalente. En conjunto, la gráfica muestra una política que crece hacia afuera, más recursos, mayor volumen programado, pero no hacia adentro, pues la ejecución permanece rezagada respecto de su propia expansión presupuestal. Para una ciudad que enfrenta desafíos estructurales en acceso, permanencia y tránsito educativo, esta brecha entre apropiación y compromiso anticipa tensiones profundas sobre la eficacia real del modelo que se está impulsando.</w:t>
      </w:r>
    </w:p>
    <w:p w:rsidR="00743DA6" w:rsidRDefault="00D95D19">
      <w:pPr>
        <w:spacing w:before="240" w:after="240" w:line="276" w:lineRule="auto"/>
        <w:jc w:val="both"/>
      </w:pPr>
      <w:r>
        <w:rPr>
          <w:sz w:val="22"/>
          <w:szCs w:val="22"/>
        </w:rPr>
        <w:t>Para precisar la estructura interna del gasto de ATENEA y complementar el análisis agregado previo, se presenta enseguida la programación presupuestal correspondiente a sus proyectos de inversión. Esta información recoge</w:t>
      </w:r>
      <w:r>
        <w:rPr>
          <w:b/>
          <w:bCs/>
          <w:sz w:val="22"/>
          <w:szCs w:val="22"/>
        </w:rPr>
        <w:t xml:space="preserve"> </w:t>
      </w:r>
      <w:r>
        <w:rPr>
          <w:sz w:val="22"/>
          <w:szCs w:val="22"/>
        </w:rPr>
        <w:t>11 proyectos de inversión</w:t>
      </w:r>
      <w:r>
        <w:rPr>
          <w:b/>
          <w:bCs/>
          <w:sz w:val="22"/>
          <w:szCs w:val="22"/>
        </w:rPr>
        <w:t xml:space="preserve">, </w:t>
      </w:r>
      <w:r>
        <w:rPr>
          <w:sz w:val="22"/>
          <w:szCs w:val="22"/>
        </w:rPr>
        <w:t>articulados a 3 metas institucionales y desarrollados mediante</w:t>
      </w:r>
      <w:r>
        <w:rPr>
          <w:b/>
          <w:bCs/>
          <w:sz w:val="22"/>
          <w:szCs w:val="22"/>
        </w:rPr>
        <w:t xml:space="preserve"> </w:t>
      </w:r>
      <w:r>
        <w:rPr>
          <w:sz w:val="22"/>
          <w:szCs w:val="22"/>
        </w:rPr>
        <w:t>23 actividades operativas, comparando la vigencia 2025 con la proyección 2026. La tabla permite identificar el peso relativo de cada proyecto dentro del total de la entidad y observar las variaciones programadas entre ambos años.</w:t>
      </w:r>
    </w:p>
    <w:p w:rsidR="00743DA6" w:rsidRDefault="00D95D19">
      <w:pPr>
        <w:spacing w:before="240" w:after="240" w:line="276" w:lineRule="auto"/>
        <w:jc w:val="center"/>
        <w:rPr>
          <w:b/>
          <w:bCs/>
          <w:sz w:val="22"/>
          <w:szCs w:val="22"/>
        </w:rPr>
      </w:pPr>
      <w:r>
        <w:rPr>
          <w:b/>
          <w:bCs/>
          <w:sz w:val="22"/>
          <w:szCs w:val="22"/>
        </w:rPr>
        <w:t>Tabla 15. Programación Presupuestal Comparada de ATENEA: Vigencia 2025 y Proyecto de Presupuesto 2026</w:t>
      </w:r>
    </w:p>
    <w:tbl>
      <w:tblPr>
        <w:tblStyle w:val="afffffb"/>
        <w:tblW w:w="8835" w:type="dxa"/>
        <w:tblBorders>
          <w:top w:val="nil"/>
          <w:left w:val="nil"/>
          <w:bottom w:val="nil"/>
          <w:right w:val="nil"/>
          <w:insideH w:val="nil"/>
          <w:insideV w:val="nil"/>
        </w:tblBorders>
        <w:tblLayout w:type="fixed"/>
        <w:tblLook w:val="0600" w:firstRow="0" w:lastRow="0" w:firstColumn="0" w:lastColumn="0" w:noHBand="1" w:noVBand="1"/>
      </w:tblPr>
      <w:tblGrid>
        <w:gridCol w:w="1905"/>
        <w:gridCol w:w="1305"/>
        <w:gridCol w:w="1440"/>
        <w:gridCol w:w="1230"/>
        <w:gridCol w:w="1470"/>
        <w:gridCol w:w="1485"/>
      </w:tblGrid>
      <w:tr w:rsidR="00743DA6">
        <w:trPr>
          <w:trHeight w:val="1230"/>
        </w:trPr>
        <w:tc>
          <w:tcPr>
            <w:tcW w:w="1905" w:type="dxa"/>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xml:space="preserve">PROYECTOS DE </w:t>
            </w:r>
            <w:r>
              <w:rPr>
                <w:rFonts w:ascii="Arial" w:eastAsia="Arial" w:hAnsi="Arial" w:cs="Arial"/>
                <w:b/>
                <w:bCs/>
                <w:sz w:val="18"/>
                <w:szCs w:val="18"/>
              </w:rPr>
              <w:t>INVERSIÓN</w:t>
            </w:r>
            <w:r>
              <w:rPr>
                <w:rFonts w:ascii="Arial" w:eastAsia="Arial" w:hAnsi="Arial" w:cs="Arial"/>
                <w:sz w:val="18"/>
                <w:szCs w:val="18"/>
              </w:rPr>
              <w:t xml:space="preserve"> </w:t>
            </w:r>
          </w:p>
        </w:tc>
        <w:tc>
          <w:tcPr>
            <w:tcW w:w="1305" w:type="dxa"/>
            <w:tcBorders>
              <w:top w:val="single" w:sz="6" w:space="0" w:color="000000"/>
              <w:left w:val="nil"/>
              <w:bottom w:val="single" w:sz="6" w:space="0" w:color="000000"/>
              <w:right w:val="single" w:sz="6" w:space="0" w:color="000000"/>
            </w:tcBorders>
            <w:shd w:val="clear" w:color="auto" w:fill="FFFFFF"/>
            <w:tcMar>
              <w:top w:w="0" w:type="dxa"/>
              <w:left w:w="80" w:type="dxa"/>
              <w:bottom w:w="0" w:type="dxa"/>
              <w:right w:w="80" w:type="dxa"/>
            </w:tcMar>
          </w:tcPr>
          <w:p w:rsidR="00743DA6" w:rsidRDefault="00D95D19">
            <w:pPr>
              <w:spacing w:before="240" w:line="276" w:lineRule="auto"/>
              <w:jc w:val="center"/>
              <w:rPr>
                <w:rFonts w:ascii="Arial" w:eastAsia="Arial" w:hAnsi="Arial" w:cs="Arial"/>
                <w:sz w:val="18"/>
                <w:szCs w:val="18"/>
              </w:rPr>
            </w:pPr>
            <w:r>
              <w:rPr>
                <w:rFonts w:ascii="Arial" w:eastAsia="Arial" w:hAnsi="Arial" w:cs="Arial"/>
                <w:sz w:val="18"/>
                <w:szCs w:val="18"/>
              </w:rPr>
              <w:t xml:space="preserve"> Suma de 2025 PROG</w:t>
            </w:r>
          </w:p>
        </w:tc>
        <w:tc>
          <w:tcPr>
            <w:tcW w:w="1440" w:type="dxa"/>
            <w:tcBorders>
              <w:top w:val="single" w:sz="6" w:space="0" w:color="000000"/>
              <w:left w:val="nil"/>
              <w:bottom w:val="single" w:sz="6" w:space="0" w:color="000000"/>
              <w:right w:val="single" w:sz="6" w:space="0" w:color="000000"/>
            </w:tcBorders>
            <w:shd w:val="clear" w:color="auto" w:fill="FFFFFF"/>
            <w:tcMar>
              <w:top w:w="0" w:type="dxa"/>
              <w:left w:w="80" w:type="dxa"/>
              <w:bottom w:w="0" w:type="dxa"/>
              <w:right w:w="80" w:type="dxa"/>
            </w:tcMar>
          </w:tcPr>
          <w:p w:rsidR="00743DA6" w:rsidRDefault="00D95D19">
            <w:pPr>
              <w:spacing w:before="240" w:line="276" w:lineRule="auto"/>
              <w:jc w:val="center"/>
              <w:rPr>
                <w:rFonts w:ascii="Arial" w:eastAsia="Arial" w:hAnsi="Arial" w:cs="Arial"/>
                <w:sz w:val="18"/>
                <w:szCs w:val="18"/>
              </w:rPr>
            </w:pPr>
            <w:r>
              <w:rPr>
                <w:rFonts w:ascii="Arial" w:eastAsia="Arial" w:hAnsi="Arial" w:cs="Arial"/>
                <w:sz w:val="18"/>
                <w:szCs w:val="18"/>
              </w:rPr>
              <w:t>Suma de 2025 COMPROMISOS</w:t>
            </w:r>
          </w:p>
        </w:tc>
        <w:tc>
          <w:tcPr>
            <w:tcW w:w="1230" w:type="dxa"/>
            <w:tcBorders>
              <w:top w:val="single" w:sz="6" w:space="0" w:color="000000"/>
              <w:left w:val="nil"/>
              <w:bottom w:val="single" w:sz="6" w:space="0" w:color="000000"/>
              <w:right w:val="single" w:sz="6" w:space="0" w:color="000000"/>
            </w:tcBorders>
            <w:shd w:val="clear" w:color="auto" w:fill="FFFFFF"/>
            <w:tcMar>
              <w:top w:w="0" w:type="dxa"/>
              <w:left w:w="80" w:type="dxa"/>
              <w:bottom w:w="0" w:type="dxa"/>
              <w:right w:w="80" w:type="dxa"/>
            </w:tcMar>
          </w:tcPr>
          <w:p w:rsidR="00743DA6" w:rsidRDefault="00D95D19">
            <w:pPr>
              <w:spacing w:before="240" w:line="276" w:lineRule="auto"/>
              <w:jc w:val="center"/>
              <w:rPr>
                <w:rFonts w:ascii="Arial" w:eastAsia="Arial" w:hAnsi="Arial" w:cs="Arial"/>
                <w:sz w:val="18"/>
                <w:szCs w:val="18"/>
              </w:rPr>
            </w:pPr>
            <w:r>
              <w:rPr>
                <w:rFonts w:ascii="Arial" w:eastAsia="Arial" w:hAnsi="Arial" w:cs="Arial"/>
                <w:sz w:val="18"/>
                <w:szCs w:val="18"/>
              </w:rPr>
              <w:t>Suma de 2025 GIROS</w:t>
            </w:r>
          </w:p>
        </w:tc>
        <w:tc>
          <w:tcPr>
            <w:tcW w:w="1470" w:type="dxa"/>
            <w:tcBorders>
              <w:top w:val="single" w:sz="6" w:space="0" w:color="000000"/>
              <w:left w:val="nil"/>
              <w:bottom w:val="single" w:sz="6" w:space="0" w:color="000000"/>
              <w:right w:val="single" w:sz="6" w:space="0" w:color="000000"/>
            </w:tcBorders>
            <w:shd w:val="clear" w:color="auto" w:fill="FFFFFF"/>
            <w:tcMar>
              <w:top w:w="0" w:type="dxa"/>
              <w:left w:w="80" w:type="dxa"/>
              <w:bottom w:w="0" w:type="dxa"/>
              <w:right w:w="80" w:type="dxa"/>
            </w:tcMar>
          </w:tcPr>
          <w:p w:rsidR="00743DA6" w:rsidRDefault="00D95D19">
            <w:pPr>
              <w:spacing w:before="240" w:line="276" w:lineRule="auto"/>
              <w:jc w:val="center"/>
              <w:rPr>
                <w:rFonts w:ascii="Arial" w:eastAsia="Arial" w:hAnsi="Arial" w:cs="Arial"/>
                <w:sz w:val="18"/>
                <w:szCs w:val="18"/>
              </w:rPr>
            </w:pPr>
            <w:r>
              <w:rPr>
                <w:rFonts w:ascii="Arial" w:eastAsia="Arial" w:hAnsi="Arial" w:cs="Arial"/>
                <w:sz w:val="18"/>
                <w:szCs w:val="18"/>
              </w:rPr>
              <w:t xml:space="preserve"> Suma de 2026 PROG</w:t>
            </w:r>
          </w:p>
        </w:tc>
        <w:tc>
          <w:tcPr>
            <w:tcW w:w="1485" w:type="dxa"/>
            <w:tcBorders>
              <w:top w:val="single" w:sz="6" w:space="0" w:color="000000"/>
              <w:left w:val="nil"/>
              <w:bottom w:val="single" w:sz="6" w:space="0" w:color="000000"/>
              <w:right w:val="single" w:sz="6" w:space="0" w:color="000000"/>
            </w:tcBorders>
            <w:shd w:val="clear" w:color="auto" w:fill="FFFFFF"/>
            <w:tcMar>
              <w:top w:w="0" w:type="dxa"/>
              <w:left w:w="80" w:type="dxa"/>
              <w:bottom w:w="0" w:type="dxa"/>
              <w:right w:w="80" w:type="dxa"/>
            </w:tcMar>
          </w:tcPr>
          <w:p w:rsidR="00743DA6" w:rsidRDefault="00D95D19">
            <w:pPr>
              <w:spacing w:before="240" w:line="276" w:lineRule="auto"/>
              <w:jc w:val="center"/>
              <w:rPr>
                <w:rFonts w:ascii="Arial" w:eastAsia="Arial" w:hAnsi="Arial" w:cs="Arial"/>
                <w:sz w:val="18"/>
                <w:szCs w:val="18"/>
              </w:rPr>
            </w:pPr>
            <w:r>
              <w:rPr>
                <w:rFonts w:ascii="Arial" w:eastAsia="Arial" w:hAnsi="Arial" w:cs="Arial"/>
                <w:sz w:val="18"/>
                <w:szCs w:val="18"/>
              </w:rPr>
              <w:t xml:space="preserve"> Suma de Diferencia PROG</w:t>
            </w:r>
          </w:p>
        </w:tc>
      </w:tr>
      <w:tr w:rsidR="00743DA6">
        <w:trPr>
          <w:trHeight w:val="1466"/>
        </w:trPr>
        <w:tc>
          <w:tcPr>
            <w:tcW w:w="1905"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center"/>
              <w:rPr>
                <w:rFonts w:ascii="Arial" w:eastAsia="Arial" w:hAnsi="Arial" w:cs="Arial"/>
                <w:sz w:val="18"/>
                <w:szCs w:val="18"/>
              </w:rPr>
            </w:pPr>
            <w:r>
              <w:rPr>
                <w:rFonts w:ascii="Arial" w:eastAsia="Arial" w:hAnsi="Arial" w:cs="Arial"/>
                <w:sz w:val="18"/>
                <w:szCs w:val="18"/>
              </w:rPr>
              <w:t>Consolidación del ecosistema de ciencia, tecnología e innovación para facilitar la resolución de necesidades y retos de Bogotá D.C</w:t>
            </w:r>
          </w:p>
        </w:tc>
        <w:tc>
          <w:tcPr>
            <w:tcW w:w="13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$165,680.60</w:t>
            </w:r>
          </w:p>
        </w:tc>
        <w:tc>
          <w:tcPr>
            <w:tcW w:w="144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$20,377.05</w:t>
            </w:r>
          </w:p>
        </w:tc>
        <w:tc>
          <w:tcPr>
            <w:tcW w:w="123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$18,994.77</w:t>
            </w:r>
          </w:p>
        </w:tc>
        <w:tc>
          <w:tcPr>
            <w:tcW w:w="14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$168,908.00</w:t>
            </w:r>
          </w:p>
        </w:tc>
        <w:tc>
          <w:tcPr>
            <w:tcW w:w="148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$3,227.40</w:t>
            </w:r>
          </w:p>
        </w:tc>
      </w:tr>
      <w:tr w:rsidR="00743DA6">
        <w:trPr>
          <w:trHeight w:val="255"/>
        </w:trPr>
        <w:tc>
          <w:tcPr>
            <w:tcW w:w="1905"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center"/>
              <w:rPr>
                <w:rFonts w:ascii="Arial" w:eastAsia="Arial" w:hAnsi="Arial" w:cs="Arial"/>
                <w:sz w:val="18"/>
                <w:szCs w:val="18"/>
              </w:rPr>
            </w:pPr>
            <w:r>
              <w:rPr>
                <w:rFonts w:ascii="Arial" w:eastAsia="Arial" w:hAnsi="Arial" w:cs="Arial"/>
                <w:sz w:val="18"/>
                <w:szCs w:val="18"/>
              </w:rPr>
              <w:t>Fortalecimiento e implementación de estrategias de acceso y permanencia en programas de educación posmedia pertinentes y acordes con las demandas sociales y productivas de Bogotá D.C.</w:t>
            </w:r>
          </w:p>
        </w:tc>
        <w:tc>
          <w:tcPr>
            <w:tcW w:w="13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$223,418.49</w:t>
            </w:r>
          </w:p>
        </w:tc>
        <w:tc>
          <w:tcPr>
            <w:tcW w:w="144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$143,909.69</w:t>
            </w:r>
          </w:p>
        </w:tc>
        <w:tc>
          <w:tcPr>
            <w:tcW w:w="123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$115,980.69</w:t>
            </w:r>
          </w:p>
        </w:tc>
        <w:tc>
          <w:tcPr>
            <w:tcW w:w="14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$311,976.68</w:t>
            </w:r>
          </w:p>
        </w:tc>
        <w:tc>
          <w:tcPr>
            <w:tcW w:w="148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$88,558.19</w:t>
            </w:r>
          </w:p>
        </w:tc>
      </w:tr>
      <w:tr w:rsidR="00743DA6">
        <w:trPr>
          <w:trHeight w:val="255"/>
        </w:trPr>
        <w:tc>
          <w:tcPr>
            <w:tcW w:w="1905"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center"/>
              <w:rPr>
                <w:rFonts w:ascii="Arial" w:eastAsia="Arial" w:hAnsi="Arial" w:cs="Arial"/>
                <w:sz w:val="18"/>
                <w:szCs w:val="18"/>
              </w:rPr>
            </w:pPr>
            <w:r>
              <w:rPr>
                <w:rFonts w:ascii="Arial" w:eastAsia="Arial" w:hAnsi="Arial" w:cs="Arial"/>
                <w:sz w:val="18"/>
                <w:szCs w:val="18"/>
              </w:rPr>
              <w:t>Fortalecimiento institucional para la gestión de la educación posmedia, la ciencia y la tecnología en Bogotá.</w:t>
            </w:r>
          </w:p>
        </w:tc>
        <w:tc>
          <w:tcPr>
            <w:tcW w:w="13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$22,221.45</w:t>
            </w:r>
          </w:p>
        </w:tc>
        <w:tc>
          <w:tcPr>
            <w:tcW w:w="144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$19,689.69</w:t>
            </w:r>
          </w:p>
        </w:tc>
        <w:tc>
          <w:tcPr>
            <w:tcW w:w="123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$11,496.72</w:t>
            </w:r>
          </w:p>
        </w:tc>
        <w:tc>
          <w:tcPr>
            <w:tcW w:w="14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$19,943.05</w:t>
            </w:r>
          </w:p>
        </w:tc>
        <w:tc>
          <w:tcPr>
            <w:tcW w:w="148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-$2,278.40</w:t>
            </w:r>
          </w:p>
        </w:tc>
      </w:tr>
      <w:tr w:rsidR="00743DA6">
        <w:trPr>
          <w:trHeight w:val="255"/>
        </w:trPr>
        <w:tc>
          <w:tcPr>
            <w:tcW w:w="1905"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center"/>
              <w:rPr>
                <w:rFonts w:ascii="Arial" w:eastAsia="Arial" w:hAnsi="Arial" w:cs="Arial"/>
                <w:sz w:val="18"/>
                <w:szCs w:val="18"/>
              </w:rPr>
            </w:pPr>
            <w:r>
              <w:rPr>
                <w:rFonts w:ascii="Arial" w:eastAsia="Arial" w:hAnsi="Arial" w:cs="Arial"/>
                <w:sz w:val="18"/>
                <w:szCs w:val="18"/>
              </w:rPr>
              <w:t>Implementación de estrategias de formación a través de ciclos cortos y/o certificaciones que permitan adquirir las habilidades y competencias necesarias para mejorar la empleabilidad en Bogotá D.C.</w:t>
            </w:r>
          </w:p>
        </w:tc>
        <w:tc>
          <w:tcPr>
            <w:tcW w:w="13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$13,593.01</w:t>
            </w:r>
          </w:p>
        </w:tc>
        <w:tc>
          <w:tcPr>
            <w:tcW w:w="144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$13,018.35</w:t>
            </w:r>
          </w:p>
        </w:tc>
        <w:tc>
          <w:tcPr>
            <w:tcW w:w="123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$ 2,469.54</w:t>
            </w:r>
          </w:p>
        </w:tc>
        <w:tc>
          <w:tcPr>
            <w:tcW w:w="14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$9,500.00</w:t>
            </w:r>
          </w:p>
        </w:tc>
        <w:tc>
          <w:tcPr>
            <w:tcW w:w="148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-$4,093.01</w:t>
            </w:r>
          </w:p>
        </w:tc>
      </w:tr>
      <w:tr w:rsidR="00743DA6">
        <w:trPr>
          <w:trHeight w:val="255"/>
        </w:trPr>
        <w:tc>
          <w:tcPr>
            <w:tcW w:w="1905"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center"/>
              <w:rPr>
                <w:rFonts w:ascii="Arial" w:eastAsia="Arial" w:hAnsi="Arial" w:cs="Arial"/>
                <w:sz w:val="18"/>
                <w:szCs w:val="18"/>
              </w:rPr>
            </w:pPr>
            <w:r>
              <w:rPr>
                <w:rFonts w:ascii="Arial" w:eastAsia="Arial" w:hAnsi="Arial" w:cs="Arial"/>
                <w:sz w:val="18"/>
                <w:szCs w:val="18"/>
              </w:rPr>
              <w:t>Implementación del sistema de educación postmedia para Bogotá D.C.</w:t>
            </w:r>
          </w:p>
        </w:tc>
        <w:tc>
          <w:tcPr>
            <w:tcW w:w="13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$305,290.89</w:t>
            </w:r>
          </w:p>
        </w:tc>
        <w:tc>
          <w:tcPr>
            <w:tcW w:w="144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$264,041.53</w:t>
            </w:r>
          </w:p>
        </w:tc>
        <w:tc>
          <w:tcPr>
            <w:tcW w:w="123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$59,148.74</w:t>
            </w:r>
          </w:p>
        </w:tc>
        <w:tc>
          <w:tcPr>
            <w:tcW w:w="14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$ 244,109.89</w:t>
            </w:r>
          </w:p>
        </w:tc>
        <w:tc>
          <w:tcPr>
            <w:tcW w:w="148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-$61,181.00</w:t>
            </w:r>
          </w:p>
        </w:tc>
      </w:tr>
      <w:tr w:rsidR="00743DA6">
        <w:trPr>
          <w:trHeight w:val="255"/>
        </w:trPr>
        <w:tc>
          <w:tcPr>
            <w:tcW w:w="1905" w:type="dxa"/>
            <w:tcBorders>
              <w:top w:val="nil"/>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Total general</w:t>
            </w:r>
          </w:p>
        </w:tc>
        <w:tc>
          <w:tcPr>
            <w:tcW w:w="130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$730,204.44</w:t>
            </w:r>
          </w:p>
        </w:tc>
        <w:tc>
          <w:tcPr>
            <w:tcW w:w="144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$461,036.31</w:t>
            </w:r>
          </w:p>
        </w:tc>
        <w:tc>
          <w:tcPr>
            <w:tcW w:w="123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$ 208,090.46</w:t>
            </w:r>
          </w:p>
        </w:tc>
        <w:tc>
          <w:tcPr>
            <w:tcW w:w="1470"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$ 754,437.62</w:t>
            </w:r>
          </w:p>
        </w:tc>
        <w:tc>
          <w:tcPr>
            <w:tcW w:w="1485" w:type="dxa"/>
            <w:tcBorders>
              <w:top w:val="nil"/>
              <w:left w:val="nil"/>
              <w:bottom w:val="single" w:sz="6" w:space="0" w:color="000000"/>
              <w:right w:val="single" w:sz="6" w:space="0" w:color="000000"/>
            </w:tcBorders>
            <w:shd w:val="clear" w:color="auto" w:fill="FFFFFF"/>
            <w:tcMar>
              <w:top w:w="0" w:type="dxa"/>
              <w:left w:w="80" w:type="dxa"/>
              <w:bottom w:w="0" w:type="dxa"/>
              <w:right w:w="80" w:type="dxa"/>
            </w:tcMar>
            <w:vAlign w:val="bottom"/>
          </w:tcPr>
          <w:p w:rsidR="00743DA6" w:rsidRDefault="00D95D19">
            <w:pPr>
              <w:spacing w:before="240" w:line="276" w:lineRule="auto"/>
              <w:jc w:val="right"/>
              <w:rPr>
                <w:rFonts w:ascii="Arial" w:eastAsia="Arial" w:hAnsi="Arial" w:cs="Arial"/>
                <w:sz w:val="18"/>
                <w:szCs w:val="18"/>
              </w:rPr>
            </w:pPr>
            <w:r>
              <w:rPr>
                <w:rFonts w:ascii="Arial" w:eastAsia="Arial" w:hAnsi="Arial" w:cs="Arial"/>
                <w:sz w:val="18"/>
                <w:szCs w:val="18"/>
              </w:rPr>
              <w:t xml:space="preserve"> $24,233.18</w:t>
            </w:r>
          </w:p>
        </w:tc>
      </w:tr>
    </w:tbl>
    <w:p w:rsidR="00743DA6" w:rsidRDefault="00D95D19">
      <w:pPr>
        <w:spacing w:before="240" w:after="240" w:line="276" w:lineRule="auto"/>
        <w:rPr>
          <w:sz w:val="18"/>
          <w:szCs w:val="18"/>
        </w:rPr>
      </w:pPr>
      <w:r>
        <w:rPr>
          <w:b/>
          <w:bCs/>
          <w:sz w:val="18"/>
          <w:szCs w:val="18"/>
        </w:rPr>
        <w:t xml:space="preserve">Fuente: </w:t>
      </w:r>
      <w:r>
        <w:rPr>
          <w:sz w:val="18"/>
          <w:szCs w:val="18"/>
        </w:rPr>
        <w:t xml:space="preserve">Elaboración propia (2025) con base en la información suministrada por parte de la SDH. </w:t>
      </w:r>
    </w:p>
    <w:p w:rsidR="00743DA6" w:rsidRDefault="00D95D19">
      <w:pPr>
        <w:spacing w:before="240" w:after="240" w:line="276" w:lineRule="auto"/>
        <w:jc w:val="both"/>
        <w:rPr>
          <w:sz w:val="22"/>
          <w:szCs w:val="22"/>
        </w:rPr>
      </w:pPr>
      <w:r>
        <w:rPr>
          <w:sz w:val="22"/>
          <w:szCs w:val="22"/>
        </w:rPr>
        <w:t>Al avanzar del examen de la Secretaría de Educación hacia ATENEA, el eje del debate presupuestal deja de girar alrededor de la administración del sistema escolar para situarse en un terreno más estructurante: el lugar desde el cual esta administración define qué entiende por educación posmedia, cómo decide financiar y, sobre todo, qué modelo de ciudad está consolidando cuando canaliza recursos públicos mediante esquemas intensivos de intermediación, tercerización y subsidios de corto plazo. En ese tránsito, la evidencia numérica muestra que ATENEA se ha convertido en el centro de gravedad del gasto educativo, más de $754.437 millones programados para 2026 en la tabla consolidada, pero también en el reflejo más nítido de un enfoque que se distancia de la construcción de capacidades públicas y se inclina hacia la contratación por demanda, los ciclos cortos de rápida certificación y la transferencia masiva de recursos hacia operadores privados.</w:t>
      </w:r>
    </w:p>
    <w:p w:rsidR="00743DA6" w:rsidRDefault="00D95D19">
      <w:pPr>
        <w:spacing w:before="240" w:after="240" w:line="276" w:lineRule="auto"/>
        <w:jc w:val="both"/>
        <w:rPr>
          <w:sz w:val="22"/>
          <w:szCs w:val="22"/>
        </w:rPr>
      </w:pPr>
      <w:r>
        <w:rPr>
          <w:sz w:val="22"/>
          <w:szCs w:val="22"/>
        </w:rPr>
        <w:t>Este modelo adquiere mayor relevancia si se observa la evolución reciente de la entidad: los proyectos destinados al fortalecimiento e implementación de estrategias de acceso y permanencia en la educación posmedia concentran más de $311.976 millones para 2026, mientras que la ejecución efectiva en 2025 fue de apenas $115.980 millones, es decir, menos del 40% de lo comprometido. Esta brecha se complementa con otra aún más estructural: los giros reales en 2025 apenas alcanzaron $208.090 millones, lo que significa que ATENEA solo logró ejecutar el 28% del presupuesto total asignado para la vigencia. Bajo estas condiciones, cualquier expectativa de ampliación presupuestal para 2026 choca con una evidencia inequívoca: la entidad no tiene capacidad de ejecución equivalente a su capacidad de programación, un síntoma clásico de políticas que enfatizan metas físicas sin sustento operativo.</w:t>
      </w:r>
    </w:p>
    <w:p w:rsidR="00743DA6" w:rsidRDefault="00D95D19">
      <w:pPr>
        <w:spacing w:before="240" w:after="240" w:line="276" w:lineRule="auto"/>
        <w:jc w:val="both"/>
        <w:rPr>
          <w:sz w:val="22"/>
          <w:szCs w:val="22"/>
        </w:rPr>
      </w:pPr>
      <w:r>
        <w:rPr>
          <w:sz w:val="22"/>
          <w:szCs w:val="22"/>
        </w:rPr>
        <w:t>El caso más diciente es la Meta 2112, correspondiente a los 20.000 cupos de cursos cortos. Según el reporte oficial del 30 de septiembre de 2025, la meta presenta un avance físico del 86,66%, casi lista para ser considerada cumplida. Sin embargo, el proyecto asociado, 008138, registró solo 18,2% en giros, lo que equivale a una quinta parte del presupuesto realmente ejecutado. La distancia entre estas dos métricas es tan profunda que resulta metodológicamente inviable suponer que los “avances” corresponden a procesos formativos completos. Más bien, sugieren que el indicador físico captura inscripciones, registros administrativos o convenios sin costo para la vigencia, pero no formación efectiva. De ahí surge la pregunta que atraviesa todo el análisis: ¿cómo puede afirmarse que una meta avanza 86% si apenas se ha pagado el 18% de lo necesario para ejecutarla? Esta ruptura entre lo físico y lo financiero no es un error aislado; es un patrón que recorre la entidad.</w:t>
      </w:r>
    </w:p>
    <w:p w:rsidR="00743DA6" w:rsidRDefault="00D95D19">
      <w:pPr>
        <w:spacing w:before="240" w:after="240" w:line="276" w:lineRule="auto"/>
        <w:jc w:val="both"/>
        <w:rPr>
          <w:sz w:val="22"/>
          <w:szCs w:val="22"/>
        </w:rPr>
      </w:pPr>
      <w:r>
        <w:rPr>
          <w:sz w:val="22"/>
          <w:szCs w:val="22"/>
        </w:rPr>
        <w:t>A ello se suman los problemas de costo. El modelo de cursos cortos presenta una volatilidad incompatible con estándares de planeación pública: ATENEA reporta que un cupo puede costar $476.450 (convocatorias 4 y 5 de Todos a la U) o escalar hasta $2.717.452 (Talento Capital Formación 4), equivalentes a una dispersión del 470% entre el mínimo y el máximo. Incluso considerando diferencias en duración (40 vs. 160 horas), el costo no debería crecer casi seis veces. El desfase del 142% por encima de lo explicable por duración evidencia la ausencia de un pliego técnico mínimo: no hay valor hora, no hay techo tarifario, no hay estandarización y no hay criterios de contratación consistentes. En la práctica, esto significa que los operadores negocian los costos y el Distrito los paga, sin una estructura de control que reduzca los incentivos al sobrecosto. Esta ausencia de criterios es incompatible con una política pública que, según la Alcaldía, busca “escalabilidad” y “sostenibilidad”.</w:t>
      </w:r>
    </w:p>
    <w:p w:rsidR="00743DA6" w:rsidRDefault="00D95D19">
      <w:pPr>
        <w:spacing w:before="240" w:after="240" w:line="276" w:lineRule="auto"/>
        <w:jc w:val="both"/>
        <w:rPr>
          <w:sz w:val="22"/>
          <w:szCs w:val="22"/>
        </w:rPr>
      </w:pPr>
      <w:r>
        <w:rPr>
          <w:sz w:val="22"/>
          <w:szCs w:val="22"/>
        </w:rPr>
        <w:t>Lo anterior se agrava con la inclusión de los 24.000 cupos de inglés del British Council, que la entidad reporta como logros de cobertura pero que no tienen costo unitario. Al no poder valorarse, estos cupos inflan la cifra de beneficiarios sin reflejar el costo real del sistema. Si se asignara el costo promedio de los cursos cortos ($1.700.000 por estudiante), estos cupos equivaldrían a $40.800 millones, un monto que en cualquier análisis serio de costo-beneficio debería ser considerado. Su exclusión altera la relación entre inversión y cobertura, y contribuye a una lectura distorsionada de eficacia.</w:t>
      </w:r>
    </w:p>
    <w:p w:rsidR="00743DA6" w:rsidRDefault="00D95D19">
      <w:pPr>
        <w:spacing w:before="240" w:after="240" w:line="276" w:lineRule="auto"/>
        <w:jc w:val="both"/>
        <w:rPr>
          <w:sz w:val="22"/>
          <w:szCs w:val="22"/>
        </w:rPr>
      </w:pPr>
      <w:r>
        <w:rPr>
          <w:sz w:val="22"/>
          <w:szCs w:val="22"/>
        </w:rPr>
        <w:t>La situación no mejora en la educación superior formal. ATENEA reconoce que completar una cohorte profesional cuesta $62,5 millones por estudiante en instituciones públicas y $54,4 millones en privadas, lo que significa que el Distrito paga $8.059.241 más por cada estudiante público que por cada estudiante privado. En los niveles tecnológicos y técnicos profesionales, la diferencia es aún mayor: en tecnología, la tarifa pública es $13,8 millones superior; en técnico profesional, la brecha alcanza $16,8 millones. Estas cifras contradicen toda lógica de política pública: en lugar de fortalecer a la Universidad Distrital Francisco José de Caldas, que podría absorber nuevos estudiantes a un costo incremental mucho menor, el Distrito financia cupos al precio de mercado, pagando a la oferta pública como si fuese privada. Desde la perspectiva financiera y de modelo de ciudad, esto equivale a renunciar a la construcción de un sistema educativo propio, estable y sostenible.</w:t>
      </w:r>
    </w:p>
    <w:p w:rsidR="00743DA6" w:rsidRDefault="00D95D19">
      <w:pPr>
        <w:spacing w:before="240" w:after="240" w:line="276" w:lineRule="auto"/>
        <w:jc w:val="both"/>
        <w:rPr>
          <w:sz w:val="22"/>
          <w:szCs w:val="22"/>
        </w:rPr>
      </w:pPr>
      <w:r>
        <w:rPr>
          <w:sz w:val="22"/>
          <w:szCs w:val="22"/>
        </w:rPr>
        <w:t>Lo más crítico es que este gasto elevado no está generando resultados verificables. La propia ATENEA reconoce, vía respuesta derecho de petición, que no tiene tasas consolidadas de graduación, que los estudios de permanencia están en elaboración, que desde 2021 solo existen 686 graduados en todos los programas, que los cursos cortos apenas alcanzan 59% de certificación, y que no existen datos de empleabilidad que permitan evaluar retorno social de la inversión. Con estos vacíos, es imposible sostener que los altos costos están justificados. En síntesis, el Distrito invierte cientos de miles de millones sin poder responder a la pregunta más básica en política educativa: ¿cuántos estudiantes ingresan, cuántos continúan y cuántos logran mejorar sus trayectorias?</w:t>
      </w:r>
    </w:p>
    <w:p w:rsidR="00743DA6" w:rsidRDefault="00D95D19">
      <w:pPr>
        <w:spacing w:before="240" w:after="240" w:line="276" w:lineRule="auto"/>
        <w:jc w:val="both"/>
        <w:rPr>
          <w:sz w:val="22"/>
          <w:szCs w:val="22"/>
        </w:rPr>
      </w:pPr>
      <w:r>
        <w:rPr>
          <w:sz w:val="22"/>
          <w:szCs w:val="22"/>
        </w:rPr>
        <w:t>Además, el modelo amplifica sus cifras mediante la duplicación de beneficiarios: de los 38.430 reportados en cursos cortos, más de 5.000 corresponden a personas que tomaron entre 2 y 5 cursos, lo que reduce significativamente la cobertura real. La sobreestimación de impacto se convierte así en un rasgo estructural: más cursos no significa más jóvenes atendidos, sino más contratos ejecutados con los mismos beneficiarios.</w:t>
      </w:r>
    </w:p>
    <w:p w:rsidR="00743DA6" w:rsidRDefault="00D95D19">
      <w:pPr>
        <w:spacing w:before="240" w:after="240" w:line="276" w:lineRule="auto"/>
        <w:jc w:val="both"/>
        <w:rPr>
          <w:sz w:val="22"/>
          <w:szCs w:val="22"/>
        </w:rPr>
      </w:pPr>
      <w:r>
        <w:rPr>
          <w:sz w:val="22"/>
          <w:szCs w:val="22"/>
        </w:rPr>
        <w:t>En este contexto, el incremento presupuestal proyectado para ATENEA carece de justificación técnica suficiente. La entidad aumenta la asignación en líneas que no presentan ejecución efectiva, por ejemplo, la línea de sostenimiento del proyecto 008122, con 0% de giros, mientras reduce recursos en actividades que sí contribuyen a la permanencia estudiantil, como la renovación de matrícula del proyecto 007913, cuya programación disminuye en 11,4%. Paralelamente, se incrementan los costos en proyectos con bajos niveles de resultado y se mantiene una estructura donde entre 88% y 89% del gasto se concentra en contratación, sin un correlato claro de fortalecimiento institucional. Este comportamiento presupuestal coincide con las ocho visitas de la Contraloría en los últimos tres años, orientadas a revisar aspectos de control, contratación y trazabilidad.</w:t>
      </w:r>
    </w:p>
    <w:p w:rsidR="00743DA6" w:rsidRDefault="00D95D19">
      <w:pPr>
        <w:spacing w:before="240" w:after="240" w:line="276" w:lineRule="auto"/>
        <w:jc w:val="both"/>
        <w:rPr>
          <w:sz w:val="22"/>
          <w:szCs w:val="22"/>
        </w:rPr>
      </w:pPr>
      <w:r>
        <w:rPr>
          <w:sz w:val="22"/>
          <w:szCs w:val="22"/>
        </w:rPr>
        <w:t>En suma, lo que revela ATENEA es una definición de ciudad que prioriza intermediación sobre estructura, “cobertura rápida” sobre trayectoria educativa, y subsidios fragmentados sobre construcción institucional. No es solo un problema de ejecución, sino de enfoque. Es una política que renuncia a fortalecer lo público, mientras paga más por estudiante que las instituciones de educación superior pueden absorber con mayor eficiencia. En un contexto donde la Universidad Distrital continúa sin recursos para ampliar infraestructura, laboratorios, sedes o cupos propios, resulta insostenible justificar que el Distrito transfiera recursos a terceros a un costo tres veces mayor que fortalecer su propia oferta.</w:t>
      </w:r>
    </w:p>
    <w:p w:rsidR="00743DA6" w:rsidRDefault="00D95D19">
      <w:pPr>
        <w:spacing w:before="240" w:after="240" w:line="276" w:lineRule="auto"/>
        <w:jc w:val="both"/>
        <w:rPr>
          <w:sz w:val="22"/>
          <w:szCs w:val="22"/>
        </w:rPr>
      </w:pPr>
      <w:r>
        <w:rPr>
          <w:sz w:val="22"/>
          <w:szCs w:val="22"/>
        </w:rPr>
        <w:t>A partir de la evidencia presupuestal y operativa disponible, no se identifica un fundamento técnico, financiero ni educativo que respalde un incremento del presupuesto de ATENEA para 2026. Más que un problema de magnitud de recursos, el enfoque vigente resulta incompatible con una visión de política pública que priorice el fortalecimiento institucional del sistema de educación posmedia. La estructura actual concentra la mayor parte del gasto en contratación de operadores y no en capacidades públicas permanentes, lo que limita la sostenibilidad, la trazabilidad y el carácter público de la oferta educativa. En este escenario, antes que ampliar el modelo, se requiere una corrección estructural que restablezca el papel central de las instituciones educativas en la garantía del derecho a la educación.</w:t>
      </w:r>
    </w:p>
    <w:p w:rsidR="00743DA6" w:rsidRDefault="00743DA6">
      <w:pPr>
        <w:pBdr>
          <w:top w:val="nil"/>
          <w:left w:val="nil"/>
          <w:bottom w:val="nil"/>
          <w:right w:val="nil"/>
          <w:between w:val="nil"/>
        </w:pBdr>
        <w:spacing w:line="259" w:lineRule="auto"/>
      </w:pPr>
    </w:p>
    <w:p w:rsidR="00743DA6" w:rsidRDefault="00D95D19">
      <w:pPr>
        <w:pBdr>
          <w:top w:val="nil"/>
          <w:left w:val="nil"/>
          <w:bottom w:val="nil"/>
          <w:right w:val="nil"/>
          <w:between w:val="nil"/>
        </w:pBdr>
        <w:spacing w:after="160" w:line="259" w:lineRule="auto"/>
      </w:pPr>
      <w:r>
        <w:rPr>
          <w:b/>
          <w:bCs/>
          <w:color w:val="000000"/>
          <w:sz w:val="22"/>
          <w:szCs w:val="22"/>
        </w:rPr>
        <w:t>Instituto para la Investigación Educativa y el Desarrollo Pedagógico</w:t>
      </w:r>
    </w:p>
    <w:p w:rsidR="00743DA6" w:rsidRDefault="00D95D19">
      <w:pPr>
        <w:spacing w:before="240" w:after="240" w:line="276" w:lineRule="auto"/>
        <w:jc w:val="both"/>
        <w:rPr>
          <w:sz w:val="22"/>
          <w:szCs w:val="22"/>
        </w:rPr>
      </w:pPr>
      <w:r>
        <w:rPr>
          <w:sz w:val="22"/>
          <w:szCs w:val="22"/>
        </w:rPr>
        <w:t>El IDEP sostiene un papel singular dentro del sector educativo porque no ejecuta cobertura escolar ni administra infraestructura, sino que produce conocimiento público, impulsa investigación pedagógica y sostiene procesos de innovación educativa. Precisamente por ello, su comportamiento presupuestal ofrece una radiografía distinta del resto de entidades: aquí, la fortaleza institucional depende menos del tamaño agregado del presupuesto y más de su coherencia interna. Entre 2022 y 2026, los recursos asignados avanzan en una ruta ascendente que, en principio, debería consolidar la capacidad del instituto para cumplir su mandato misional. Sin embargo, el contraste entre esa expansión y la reducción en los compromisos recientes anticipa tensiones sobre la gobernanza financiera del IDEP y sobre el lugar real que ocupa el conocimiento pedagógico en el modelo de ciudad de esta administración.</w:t>
      </w:r>
    </w:p>
    <w:p w:rsidR="00743DA6" w:rsidRDefault="00D95D19">
      <w:pPr>
        <w:spacing w:before="240" w:after="240" w:line="276" w:lineRule="auto"/>
        <w:jc w:val="both"/>
        <w:rPr>
          <w:sz w:val="22"/>
          <w:szCs w:val="22"/>
        </w:rPr>
      </w:pPr>
      <w:r>
        <w:rPr>
          <w:sz w:val="22"/>
          <w:szCs w:val="22"/>
        </w:rPr>
        <w:t>Ahora bien, cuando se observa la gráfica “Evolución del Presupuesto del IDEP (2022–2026)”, se revela un comportamiento que no es lineal ni acompasado. En funcionamiento, el presupuesto inicial asciende de $16,1 mil millones en 2022 a $23,7 mil millones estimados para 2026, aunque los compromisos de 2025 retroceden de manera brusca respecto a lo programado. En cuanto a inversión directa, el movimiento es más errático: cae entre 2022 y 2023, se estabiliza en 2024 y recupera impulso en 2025 y 2026, pero sin un patrón claro de continuidad. Esta lectura gráfica muestra un instituto cuyo crecimiento presupuestal no se traduce necesariamente en mayor capacidad operativa, lo que abre un interrogante clave: ¿se está fortaleciendo realmente el IDEP, o solo se está ampliando su contabilidad?</w:t>
      </w:r>
    </w:p>
    <w:p w:rsidR="00743DA6" w:rsidRDefault="00743DA6">
      <w:pPr>
        <w:spacing w:before="240" w:after="240" w:line="276" w:lineRule="auto"/>
        <w:jc w:val="both"/>
        <w:rPr>
          <w:sz w:val="22"/>
          <w:szCs w:val="22"/>
        </w:rPr>
      </w:pPr>
    </w:p>
    <w:p w:rsidR="00743DA6" w:rsidRDefault="00D95D19">
      <w:pPr>
        <w:spacing w:before="240" w:after="240" w:line="276" w:lineRule="auto"/>
        <w:jc w:val="center"/>
        <w:rPr>
          <w:b/>
          <w:bCs/>
          <w:sz w:val="22"/>
          <w:szCs w:val="22"/>
        </w:rPr>
      </w:pPr>
      <w:r>
        <w:rPr>
          <w:b/>
          <w:bCs/>
          <w:sz w:val="22"/>
          <w:szCs w:val="22"/>
        </w:rPr>
        <w:t>Evolución del Presupuesto de Funcionamiento IDEP (2022 - 2026)</w:t>
      </w:r>
    </w:p>
    <w:p w:rsidR="00743DA6" w:rsidRDefault="00D95D19">
      <w:pPr>
        <w:spacing w:before="240" w:after="240" w:line="276" w:lineRule="auto"/>
        <w:jc w:val="both"/>
      </w:pPr>
      <w:r>
        <w:rPr>
          <w:noProof/>
          <w:lang w:val="es-CO"/>
        </w:rPr>
        <w:drawing>
          <wp:inline distT="114300" distB="114300" distL="114300" distR="114300">
            <wp:extent cx="5612130" cy="3035300"/>
            <wp:effectExtent l="0" t="0" r="0" b="0"/>
            <wp:docPr id="2127399612"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1"/>
                    <a:srcRect/>
                    <a:stretch>
                      <a:fillRect/>
                    </a:stretch>
                  </pic:blipFill>
                  <pic:spPr>
                    <a:xfrm>
                      <a:off x="0" y="0"/>
                      <a:ext cx="5612130" cy="3035300"/>
                    </a:xfrm>
                    <a:prstGeom prst="rect">
                      <a:avLst/>
                    </a:prstGeom>
                    <a:ln/>
                  </pic:spPr>
                </pic:pic>
              </a:graphicData>
            </a:graphic>
          </wp:inline>
        </w:drawing>
      </w:r>
    </w:p>
    <w:p w:rsidR="00743DA6" w:rsidRDefault="00D95D19">
      <w:pPr>
        <w:spacing w:before="240" w:after="240" w:line="276" w:lineRule="auto"/>
        <w:jc w:val="center"/>
      </w:pPr>
      <w:r>
        <w:rPr>
          <w:b/>
          <w:bCs/>
          <w:sz w:val="18"/>
          <w:szCs w:val="18"/>
        </w:rPr>
        <w:t xml:space="preserve">Fuente: </w:t>
      </w:r>
      <w:r>
        <w:rPr>
          <w:sz w:val="18"/>
          <w:szCs w:val="18"/>
        </w:rPr>
        <w:t>Elaboración propia (2025) con base en la información suministrada por parte de la SDH: Comparativo presupuesto anual por entidades 2022-2026</w:t>
      </w:r>
    </w:p>
    <w:p w:rsidR="00743DA6" w:rsidRDefault="00743DA6">
      <w:pPr>
        <w:spacing w:before="240" w:after="240" w:line="276" w:lineRule="auto"/>
        <w:jc w:val="both"/>
      </w:pPr>
    </w:p>
    <w:p w:rsidR="00743DA6" w:rsidRDefault="00D95D19">
      <w:pPr>
        <w:spacing w:before="240" w:after="240" w:line="276" w:lineRule="auto"/>
        <w:jc w:val="center"/>
        <w:rPr>
          <w:b/>
          <w:bCs/>
          <w:sz w:val="22"/>
          <w:szCs w:val="22"/>
        </w:rPr>
      </w:pPr>
      <w:r>
        <w:rPr>
          <w:b/>
          <w:bCs/>
          <w:sz w:val="22"/>
          <w:szCs w:val="22"/>
        </w:rPr>
        <w:t xml:space="preserve">Evolución de la Inversión Directa IDEP (2022 - 2026) </w:t>
      </w:r>
    </w:p>
    <w:p w:rsidR="00743DA6" w:rsidRDefault="00D95D19">
      <w:pPr>
        <w:spacing w:before="240" w:after="240" w:line="276" w:lineRule="auto"/>
        <w:jc w:val="both"/>
      </w:pPr>
      <w:r>
        <w:rPr>
          <w:noProof/>
          <w:lang w:val="es-CO"/>
        </w:rPr>
        <w:drawing>
          <wp:inline distT="114300" distB="114300" distL="114300" distR="114300">
            <wp:extent cx="5612130" cy="3035300"/>
            <wp:effectExtent l="0" t="0" r="0" b="0"/>
            <wp:docPr id="2127399613"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2"/>
                    <a:srcRect/>
                    <a:stretch>
                      <a:fillRect/>
                    </a:stretch>
                  </pic:blipFill>
                  <pic:spPr>
                    <a:xfrm>
                      <a:off x="0" y="0"/>
                      <a:ext cx="5612130" cy="3035300"/>
                    </a:xfrm>
                    <a:prstGeom prst="rect">
                      <a:avLst/>
                    </a:prstGeom>
                    <a:ln/>
                  </pic:spPr>
                </pic:pic>
              </a:graphicData>
            </a:graphic>
          </wp:inline>
        </w:drawing>
      </w:r>
    </w:p>
    <w:p w:rsidR="00743DA6" w:rsidRDefault="00D95D19">
      <w:pPr>
        <w:spacing w:before="240" w:after="240" w:line="276" w:lineRule="auto"/>
        <w:jc w:val="center"/>
        <w:rPr>
          <w:b/>
          <w:bCs/>
          <w:sz w:val="18"/>
          <w:szCs w:val="18"/>
        </w:rPr>
      </w:pPr>
      <w:r>
        <w:rPr>
          <w:b/>
          <w:bCs/>
          <w:sz w:val="18"/>
          <w:szCs w:val="18"/>
        </w:rPr>
        <w:t xml:space="preserve">Fuente: </w:t>
      </w:r>
      <w:r>
        <w:rPr>
          <w:sz w:val="18"/>
          <w:szCs w:val="18"/>
        </w:rPr>
        <w:t>Elaboración propia (2025) con base en la información suministrada por parte de la SDH: Comparativo presupuesto anual por entidades 2022-2026</w:t>
      </w:r>
    </w:p>
    <w:p w:rsidR="00743DA6" w:rsidRDefault="00D95D19">
      <w:pPr>
        <w:spacing w:before="240" w:after="240" w:line="276" w:lineRule="auto"/>
        <w:jc w:val="both"/>
        <w:rPr>
          <w:sz w:val="22"/>
          <w:szCs w:val="22"/>
        </w:rPr>
      </w:pPr>
      <w:r>
        <w:rPr>
          <w:sz w:val="22"/>
          <w:szCs w:val="22"/>
        </w:rPr>
        <w:t>Vista en conjunto, la trayectoria del IDEP sugiere un problema de sincronía entre recursos y gestión. Mientras el presupuesto aumenta, la ejecución no acompaña ese incremento: los compromisos caen en el momento en que deberían consolidarse, y las líneas de inversión fluctúan sin una tendencia sostenida que respalde un proyecto institucional de largo aliento. Además, el desfase entre funcionamiento creciente y compromisos menguantes revela un riesgo operativo: un instituto que absorbe más recursos, pero que no logra convertirlos en producción misional, termina debilitando justamente aquello que le da sentido, la investigación, los estudios pedagógicos y el soporte técnico para el sistema educativo. Esta combinación plantea una duda de fondo sobre la dirección estratégica del IDEP y sobre el lugar que la administración actual le asigna a la generación de conocimiento educativo como política pública.</w:t>
      </w:r>
    </w:p>
    <w:p w:rsidR="00743DA6" w:rsidRDefault="00D95D19">
      <w:pPr>
        <w:spacing w:before="240" w:after="240" w:line="276" w:lineRule="auto"/>
        <w:jc w:val="both"/>
        <w:rPr>
          <w:sz w:val="22"/>
          <w:szCs w:val="22"/>
        </w:rPr>
      </w:pPr>
      <w:r>
        <w:rPr>
          <w:sz w:val="22"/>
          <w:szCs w:val="22"/>
        </w:rPr>
        <w:t>Antes de detallar los hallazgos, resulta pertinente observar la estructura presupuestal del Instituto, que articula dos metas sectoriales y se despliega en seis actividades misionales. La tabla siguiente reúne la programación 2025, los compromisos y los giros efectivamente realizados, junto con la proyección 2026, permitiendo contrastar la dinámica interna del instituto con una mirada de conjunto. Lo que muestra este consolidado es una reducción neta de $868 millones entre la programación 2025 y lo proyectado para 2026, además de un nivel de giros que apenas supera los $3.070 millones</w:t>
      </w:r>
      <w:r>
        <w:rPr>
          <w:b/>
          <w:bCs/>
          <w:sz w:val="22"/>
          <w:szCs w:val="22"/>
        </w:rPr>
        <w:t>,</w:t>
      </w:r>
      <w:r>
        <w:rPr>
          <w:sz w:val="22"/>
          <w:szCs w:val="22"/>
        </w:rPr>
        <w:t xml:space="preserve"> es decir, menos de la mitad de lo comprometido. Esta lectura cuantitativa permite dimensionar, sin adelantarnos al juicio analítico, que el IDEP opera con una arquitectura presupuestal extremadamente concentrada y que su capacidad real de ejecución depende de un único eje de inversión que, para esta administración, no parece estar ganando prioridad.</w:t>
      </w:r>
    </w:p>
    <w:p w:rsidR="00743DA6" w:rsidRDefault="00D95D19">
      <w:pPr>
        <w:spacing w:before="240" w:after="240" w:line="276" w:lineRule="auto"/>
        <w:jc w:val="center"/>
        <w:rPr>
          <w:b/>
          <w:bCs/>
          <w:sz w:val="20"/>
          <w:szCs w:val="20"/>
        </w:rPr>
      </w:pPr>
      <w:r>
        <w:rPr>
          <w:b/>
          <w:bCs/>
          <w:sz w:val="22"/>
          <w:szCs w:val="22"/>
        </w:rPr>
        <w:t>Tabla 16. Programación Presupuestal Comparada de IDEP: Vigencia 2025 y Proyecto de Presupuesto 2026</w:t>
      </w:r>
    </w:p>
    <w:p w:rsidR="00743DA6" w:rsidRDefault="00743DA6">
      <w:pPr>
        <w:rPr>
          <w:sz w:val="20"/>
          <w:szCs w:val="20"/>
        </w:rPr>
      </w:pPr>
    </w:p>
    <w:tbl>
      <w:tblPr>
        <w:tblStyle w:val="afffffc"/>
        <w:tblW w:w="8835" w:type="dxa"/>
        <w:tblBorders>
          <w:top w:val="nil"/>
          <w:left w:val="nil"/>
          <w:bottom w:val="nil"/>
          <w:right w:val="nil"/>
          <w:insideH w:val="nil"/>
          <w:insideV w:val="nil"/>
        </w:tblBorders>
        <w:tblLayout w:type="fixed"/>
        <w:tblLook w:val="0600" w:firstRow="0" w:lastRow="0" w:firstColumn="0" w:lastColumn="0" w:noHBand="1" w:noVBand="1"/>
      </w:tblPr>
      <w:tblGrid>
        <w:gridCol w:w="2385"/>
        <w:gridCol w:w="1320"/>
        <w:gridCol w:w="1380"/>
        <w:gridCol w:w="1215"/>
        <w:gridCol w:w="1170"/>
        <w:gridCol w:w="1365"/>
      </w:tblGrid>
      <w:tr w:rsidR="00743DA6">
        <w:trPr>
          <w:trHeight w:val="555"/>
        </w:trPr>
        <w:tc>
          <w:tcPr>
            <w:tcW w:w="2385"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rsidR="00743DA6" w:rsidRDefault="00D95D19">
            <w:pPr>
              <w:rPr>
                <w:sz w:val="20"/>
                <w:szCs w:val="20"/>
              </w:rPr>
            </w:pPr>
            <w:r>
              <w:rPr>
                <w:sz w:val="20"/>
                <w:szCs w:val="20"/>
              </w:rPr>
              <w:t xml:space="preserve">PROYECTO DE INVERSIÓN </w:t>
            </w:r>
          </w:p>
        </w:tc>
        <w:tc>
          <w:tcPr>
            <w:tcW w:w="132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rsidR="00743DA6" w:rsidRDefault="00D95D19">
            <w:pPr>
              <w:spacing w:before="240" w:after="240" w:line="276" w:lineRule="auto"/>
              <w:jc w:val="center"/>
              <w:rPr>
                <w:sz w:val="20"/>
                <w:szCs w:val="20"/>
              </w:rPr>
            </w:pPr>
            <w:r>
              <w:rPr>
                <w:sz w:val="20"/>
                <w:szCs w:val="20"/>
              </w:rPr>
              <w:t>Suma de 2025 PROG</w:t>
            </w:r>
          </w:p>
        </w:tc>
        <w:tc>
          <w:tcPr>
            <w:tcW w:w="138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rsidR="00743DA6" w:rsidRDefault="00D95D19">
            <w:pPr>
              <w:spacing w:before="240" w:after="240" w:line="276" w:lineRule="auto"/>
              <w:jc w:val="center"/>
              <w:rPr>
                <w:sz w:val="20"/>
                <w:szCs w:val="20"/>
              </w:rPr>
            </w:pPr>
            <w:r>
              <w:rPr>
                <w:sz w:val="20"/>
                <w:szCs w:val="20"/>
              </w:rPr>
              <w:t>Suma de 2025 COMPROMISOS</w:t>
            </w:r>
          </w:p>
        </w:tc>
        <w:tc>
          <w:tcPr>
            <w:tcW w:w="1215"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rsidR="00743DA6" w:rsidRDefault="00D95D19">
            <w:pPr>
              <w:spacing w:before="240" w:after="240" w:line="276" w:lineRule="auto"/>
              <w:jc w:val="center"/>
              <w:rPr>
                <w:sz w:val="20"/>
                <w:szCs w:val="20"/>
              </w:rPr>
            </w:pPr>
            <w:r>
              <w:rPr>
                <w:sz w:val="20"/>
                <w:szCs w:val="20"/>
              </w:rPr>
              <w:t>Suma de 2025 GIROS</w:t>
            </w:r>
          </w:p>
        </w:tc>
        <w:tc>
          <w:tcPr>
            <w:tcW w:w="117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rsidR="00743DA6" w:rsidRDefault="00D95D19">
            <w:pPr>
              <w:spacing w:before="240" w:after="240" w:line="276" w:lineRule="auto"/>
              <w:jc w:val="center"/>
              <w:rPr>
                <w:sz w:val="20"/>
                <w:szCs w:val="20"/>
              </w:rPr>
            </w:pPr>
            <w:r>
              <w:rPr>
                <w:sz w:val="20"/>
                <w:szCs w:val="20"/>
              </w:rPr>
              <w:t xml:space="preserve"> Suma de 2026 PROG</w:t>
            </w:r>
          </w:p>
        </w:tc>
        <w:tc>
          <w:tcPr>
            <w:tcW w:w="1365"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rsidR="00743DA6" w:rsidRDefault="00D95D19">
            <w:pPr>
              <w:spacing w:before="240" w:after="240" w:line="276" w:lineRule="auto"/>
              <w:jc w:val="center"/>
              <w:rPr>
                <w:sz w:val="20"/>
                <w:szCs w:val="20"/>
              </w:rPr>
            </w:pPr>
            <w:r>
              <w:rPr>
                <w:sz w:val="20"/>
                <w:szCs w:val="20"/>
              </w:rPr>
              <w:t xml:space="preserve"> Suma de Diferencia PROG</w:t>
            </w:r>
          </w:p>
        </w:tc>
      </w:tr>
      <w:tr w:rsidR="00743DA6">
        <w:trPr>
          <w:trHeight w:val="1146"/>
        </w:trPr>
        <w:tc>
          <w:tcPr>
            <w:tcW w:w="23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center"/>
              <w:rPr>
                <w:sz w:val="20"/>
                <w:szCs w:val="20"/>
              </w:rPr>
            </w:pPr>
            <w:r>
              <w:rPr>
                <w:sz w:val="20"/>
                <w:szCs w:val="20"/>
              </w:rPr>
              <w:t>Generación y divulgación de conocimiento para el desarrollo y la transformación educativa en Bogotá D.C.</w:t>
            </w:r>
          </w:p>
        </w:tc>
        <w:tc>
          <w:tcPr>
            <w:tcW w:w="1320"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right"/>
              <w:rPr>
                <w:sz w:val="20"/>
                <w:szCs w:val="20"/>
              </w:rPr>
            </w:pPr>
            <w:r>
              <w:rPr>
                <w:sz w:val="20"/>
                <w:szCs w:val="20"/>
              </w:rPr>
              <w:t xml:space="preserve"> $7,217.85</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right"/>
              <w:rPr>
                <w:sz w:val="20"/>
                <w:szCs w:val="20"/>
              </w:rPr>
            </w:pPr>
            <w:r>
              <w:rPr>
                <w:sz w:val="20"/>
                <w:szCs w:val="20"/>
              </w:rPr>
              <w:t xml:space="preserve"> $6,228.51</w:t>
            </w:r>
          </w:p>
        </w:tc>
        <w:tc>
          <w:tcPr>
            <w:tcW w:w="121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right"/>
              <w:rPr>
                <w:sz w:val="20"/>
                <w:szCs w:val="20"/>
              </w:rPr>
            </w:pPr>
            <w:r>
              <w:rPr>
                <w:sz w:val="20"/>
                <w:szCs w:val="20"/>
              </w:rPr>
              <w:t xml:space="preserve"> $3,070.39</w:t>
            </w:r>
          </w:p>
        </w:tc>
        <w:tc>
          <w:tcPr>
            <w:tcW w:w="1170"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right"/>
              <w:rPr>
                <w:sz w:val="20"/>
                <w:szCs w:val="20"/>
              </w:rPr>
            </w:pPr>
            <w:r>
              <w:rPr>
                <w:sz w:val="20"/>
                <w:szCs w:val="20"/>
              </w:rPr>
              <w:t xml:space="preserve"> $6,349.77</w:t>
            </w:r>
          </w:p>
        </w:tc>
        <w:tc>
          <w:tcPr>
            <w:tcW w:w="136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right"/>
              <w:rPr>
                <w:sz w:val="20"/>
                <w:szCs w:val="20"/>
              </w:rPr>
            </w:pPr>
            <w:r>
              <w:rPr>
                <w:sz w:val="20"/>
                <w:szCs w:val="20"/>
              </w:rPr>
              <w:t>-$$868.08</w:t>
            </w:r>
          </w:p>
        </w:tc>
      </w:tr>
      <w:tr w:rsidR="00743DA6">
        <w:trPr>
          <w:trHeight w:val="769"/>
        </w:trPr>
        <w:tc>
          <w:tcPr>
            <w:tcW w:w="23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center"/>
              <w:rPr>
                <w:sz w:val="20"/>
                <w:szCs w:val="20"/>
              </w:rPr>
            </w:pPr>
            <w:r>
              <w:rPr>
                <w:sz w:val="20"/>
                <w:szCs w:val="20"/>
              </w:rPr>
              <w:t>Total general</w:t>
            </w:r>
          </w:p>
        </w:tc>
        <w:tc>
          <w:tcPr>
            <w:tcW w:w="1320"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right"/>
              <w:rPr>
                <w:sz w:val="20"/>
                <w:szCs w:val="20"/>
              </w:rPr>
            </w:pPr>
            <w:r>
              <w:rPr>
                <w:sz w:val="20"/>
                <w:szCs w:val="20"/>
              </w:rPr>
              <w:t xml:space="preserve"> $7,217.85</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right"/>
              <w:rPr>
                <w:sz w:val="20"/>
                <w:szCs w:val="20"/>
              </w:rPr>
            </w:pPr>
            <w:r>
              <w:rPr>
                <w:sz w:val="20"/>
                <w:szCs w:val="20"/>
              </w:rPr>
              <w:t xml:space="preserve"> $6,228.51</w:t>
            </w:r>
          </w:p>
        </w:tc>
        <w:tc>
          <w:tcPr>
            <w:tcW w:w="121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right"/>
              <w:rPr>
                <w:sz w:val="20"/>
                <w:szCs w:val="20"/>
              </w:rPr>
            </w:pPr>
            <w:r>
              <w:rPr>
                <w:sz w:val="20"/>
                <w:szCs w:val="20"/>
              </w:rPr>
              <w:t xml:space="preserve"> $ 3,070.39</w:t>
            </w:r>
          </w:p>
        </w:tc>
        <w:tc>
          <w:tcPr>
            <w:tcW w:w="1170"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right"/>
              <w:rPr>
                <w:sz w:val="20"/>
                <w:szCs w:val="20"/>
              </w:rPr>
            </w:pPr>
            <w:r>
              <w:rPr>
                <w:sz w:val="20"/>
                <w:szCs w:val="20"/>
              </w:rPr>
              <w:t xml:space="preserve"> $6,349.77</w:t>
            </w:r>
          </w:p>
        </w:tc>
        <w:tc>
          <w:tcPr>
            <w:tcW w:w="136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pacing w:before="240" w:after="240" w:line="276" w:lineRule="auto"/>
              <w:jc w:val="right"/>
              <w:rPr>
                <w:sz w:val="20"/>
                <w:szCs w:val="20"/>
              </w:rPr>
            </w:pPr>
            <w:r>
              <w:rPr>
                <w:sz w:val="20"/>
                <w:szCs w:val="20"/>
              </w:rPr>
              <w:t>-$$868.08</w:t>
            </w:r>
          </w:p>
        </w:tc>
      </w:tr>
    </w:tbl>
    <w:p w:rsidR="00743DA6" w:rsidRDefault="00D95D19">
      <w:pPr>
        <w:spacing w:before="240" w:after="240" w:line="276" w:lineRule="auto"/>
        <w:jc w:val="center"/>
        <w:rPr>
          <w:sz w:val="18"/>
          <w:szCs w:val="18"/>
        </w:rPr>
      </w:pPr>
      <w:r>
        <w:rPr>
          <w:b/>
          <w:bCs/>
          <w:sz w:val="18"/>
          <w:szCs w:val="18"/>
        </w:rPr>
        <w:t xml:space="preserve">Fuente: Fuente: </w:t>
      </w:r>
      <w:r>
        <w:rPr>
          <w:sz w:val="18"/>
          <w:szCs w:val="18"/>
        </w:rPr>
        <w:t>Elaboración propia (2025) con base en la información suministrada por parte de la SDH.</w:t>
      </w:r>
    </w:p>
    <w:p w:rsidR="00743DA6" w:rsidRDefault="00D95D19">
      <w:pPr>
        <w:spacing w:before="240" w:after="240" w:line="276" w:lineRule="auto"/>
        <w:jc w:val="both"/>
        <w:rPr>
          <w:sz w:val="22"/>
          <w:szCs w:val="22"/>
        </w:rPr>
      </w:pPr>
      <w:r>
        <w:rPr>
          <w:sz w:val="22"/>
          <w:szCs w:val="22"/>
        </w:rPr>
        <w:t>De entrada, el comportamiento presupuestal del IDEP entre 2025 y 2026 exhibe una deriva que contrasta con la intención declarada de consolidar un aparato público robusto en materia de investigación y transformación pedagógica. Aunque el instituto opera a través de un único proyecto de inversión, su magnitud global disminuye de $7.217 millones a $6.349 millones, una contracción de $868 millones que, si se examina con detenimiento, no solo reduce el tamaño presupuestal sino que altera los equilibrios internos del proyecto. En apariencia, el ajuste podría interpretarse como una reorganización menor; sin embargo, a contraluz de las cifras, el recorte impacta precisamente los segmentos que otorgan capacidad estratégica al IDEP.</w:t>
      </w:r>
    </w:p>
    <w:p w:rsidR="00743DA6" w:rsidRDefault="00D95D19">
      <w:pPr>
        <w:spacing w:before="240" w:after="240" w:line="276" w:lineRule="auto"/>
        <w:jc w:val="both"/>
        <w:rPr>
          <w:sz w:val="22"/>
          <w:szCs w:val="22"/>
        </w:rPr>
      </w:pPr>
      <w:r>
        <w:rPr>
          <w:sz w:val="22"/>
          <w:szCs w:val="22"/>
        </w:rPr>
        <w:t>Por añadidura, la línea destinada a fortalecer a maestros, redes, semilleros y colectivos, es decir, la interfaz real entre el instituto y la práctica pedagógica de la ciudad, experimenta el descenso más pronunciado. Pasa de $4.556 millones a $3.675 millones, lo que equivale a un retroceso superior a $880 millones. A juicio de este análisis, el recorte se vuelve más problemático cuando se desagrega: la estrategia de fortalecimiento de capacidades investigativas de docentes cae $419 millones, y la de gestión institucional $461 millones. Dicho sea con precisión, estas dos actividades constituyen la columna vertebral del IDEP; su debilitamiento implica perder anclaje técnico en aquello que diferencia al instituto de un simple operador de eventos o productor de piezas comunicativas.</w:t>
      </w:r>
    </w:p>
    <w:p w:rsidR="00743DA6" w:rsidRDefault="00D95D19">
      <w:pPr>
        <w:spacing w:before="240" w:after="240" w:line="276" w:lineRule="auto"/>
        <w:jc w:val="both"/>
        <w:rPr>
          <w:sz w:val="22"/>
          <w:szCs w:val="22"/>
        </w:rPr>
      </w:pPr>
      <w:r>
        <w:rPr>
          <w:sz w:val="22"/>
          <w:szCs w:val="22"/>
        </w:rPr>
        <w:t>A la inversa, la meta orientada a la producción de 20 investigaciones aparenta una ligera expansión, de $2.661 millones a $2.674 millones, aunque, bajo esa luz, es un crecimiento engañoso: la actividad que sostiene la investigación en sentido estricto se contrae de $1.874 millones a $1.068 millones, un recorte del 43 %. El incremento marginal proviene, por derivación, de actividades que no reemplazan la producción de conocimiento: posicionamiento en CTeI (+$22 millones), evaluaciones (+$374 millones) y comunicación y apropiación social (+$422 millones). En rigor, esto configura un desplazamiento del instituto hacia funciones periféricas, de menor densidad técnica, que no mejoran su capacidad de incidir en las apuestas educativas de Bogotá.</w:t>
      </w:r>
    </w:p>
    <w:p w:rsidR="00743DA6" w:rsidRDefault="00D95D19">
      <w:pPr>
        <w:spacing w:before="240" w:after="240" w:line="276" w:lineRule="auto"/>
        <w:jc w:val="both"/>
        <w:rPr>
          <w:sz w:val="22"/>
          <w:szCs w:val="22"/>
        </w:rPr>
      </w:pPr>
      <w:r>
        <w:rPr>
          <w:sz w:val="22"/>
          <w:szCs w:val="22"/>
        </w:rPr>
        <w:t>Por vía de contraste, mientras se debilitan las actividades con mayor retorno público (investigación aplicada, fortalecimiento docente, gestión institucional), crecen aquellas asociadas a visibilidad, divulgación y posicionamiento. Con todo y ello, la estrategia de comunicación prácticamente se duplica, de $672 millones a $1.095 millones, una señal de que el IDEP empieza a comportarse más como una agencia de producción discursiva que como un centro de investigación educativa. Si se mira de soslayo, se advierte que el incremento en evaluaciones (de $0 a $374 millones) no compensa la reducción en investigación, sino que introduce un gasto nuevo cuya finalidad no está demostrada en términos de impacto pedagógico.</w:t>
      </w:r>
    </w:p>
    <w:p w:rsidR="00743DA6" w:rsidRDefault="00D95D19">
      <w:pPr>
        <w:spacing w:before="240" w:after="240" w:line="276" w:lineRule="auto"/>
        <w:jc w:val="both"/>
        <w:rPr>
          <w:sz w:val="22"/>
          <w:szCs w:val="22"/>
        </w:rPr>
      </w:pPr>
      <w:r>
        <w:rPr>
          <w:sz w:val="22"/>
          <w:szCs w:val="22"/>
        </w:rPr>
        <w:t>En consecuencia, la programación 2026 termina erosionando la arquitectura técnica del instituto: disminuye recursos justamente en las líneas que permiten producir conocimiento, cualificar a los docentes y sostener procesos de acompañamiento pedagógico, mientras amplía rubros que orbitan en la periferia de su misión. Este movimiento no es neutro. Al desplazar recursos hacia actividades de divulgación y posicionamiento, el IDEP pierde densidad analítica y capacidad de orientar decisiones de política educativa con evidencia propia. El resultado inmediato es un instituto con menor tracción sobre el sistema escolar y mayor dependencia de piezas comunicativas que no sustituyen la investigación aplicada. En la práctica, el rediseño presupuestal lo empuja a un papel más decorativo que estratégico, debilitando una de las pocas instituciones capaces de producir insumos rigurosos para cerrar brechas de aprendizaje y transformar la práctica pedagógica en Bogotá.</w:t>
      </w:r>
    </w:p>
    <w:p w:rsidR="00743DA6" w:rsidRDefault="00743DA6">
      <w:pPr>
        <w:spacing w:before="240" w:after="240" w:line="276" w:lineRule="auto"/>
        <w:jc w:val="both"/>
        <w:rPr>
          <w:sz w:val="22"/>
          <w:szCs w:val="22"/>
        </w:rPr>
      </w:pPr>
    </w:p>
    <w:p w:rsidR="00743DA6" w:rsidRDefault="00743DA6">
      <w:pPr>
        <w:spacing w:before="240" w:after="240" w:line="276" w:lineRule="auto"/>
        <w:jc w:val="both"/>
        <w:rPr>
          <w:sz w:val="22"/>
          <w:szCs w:val="22"/>
        </w:rPr>
      </w:pPr>
    </w:p>
    <w:p w:rsidR="00743DA6" w:rsidRDefault="00D95D19">
      <w:pPr>
        <w:jc w:val="both"/>
        <w:rPr>
          <w:b/>
          <w:bCs/>
          <w:sz w:val="22"/>
          <w:szCs w:val="22"/>
        </w:rPr>
      </w:pPr>
      <w:r>
        <w:rPr>
          <w:b/>
          <w:bCs/>
          <w:sz w:val="22"/>
          <w:szCs w:val="22"/>
        </w:rPr>
        <w:t>Secretaría Distrital de Ambiente - SDA</w:t>
      </w:r>
    </w:p>
    <w:p w:rsidR="00743DA6" w:rsidRDefault="00743DA6">
      <w:pPr>
        <w:jc w:val="both"/>
        <w:rPr>
          <w:b/>
          <w:bCs/>
        </w:rPr>
      </w:pPr>
    </w:p>
    <w:p w:rsidR="00743DA6" w:rsidRDefault="00D95D19">
      <w:pPr>
        <w:jc w:val="both"/>
        <w:rPr>
          <w:sz w:val="40"/>
          <w:szCs w:val="40"/>
        </w:rPr>
      </w:pPr>
      <w:r>
        <w:rPr>
          <w:b/>
          <w:bCs/>
          <w:sz w:val="22"/>
          <w:szCs w:val="22"/>
        </w:rPr>
        <w:t>Comportamiento presupuestal de la Secretaría Distrital de Ambiente (SDA), 2022–2026</w:t>
      </w:r>
    </w:p>
    <w:p w:rsidR="00743DA6" w:rsidRDefault="00D95D19">
      <w:pPr>
        <w:spacing w:before="240" w:after="240" w:line="276" w:lineRule="auto"/>
        <w:jc w:val="both"/>
        <w:rPr>
          <w:sz w:val="22"/>
          <w:szCs w:val="22"/>
        </w:rPr>
      </w:pPr>
      <w:r>
        <w:rPr>
          <w:sz w:val="22"/>
          <w:szCs w:val="22"/>
        </w:rPr>
        <w:t>El análisis del comportamiento presupuestal de la Secretaría Distrital de Ambiente entre 2022 y 2026 muestra que la ejecución no corresponde a la estabilidad de los recursos asignados. Durante este periodo, la asignación presupuestal, representada en la línea azul del gráfico, se ha mantenido alrededor de los doscientos mil millones de pesos, sin variaciones que indiquen una reducción estructural del financiamiento de la política ambiental. La disponibilidad de recursos se ha sostenido de manera constante; por lo tanto, las brechas observadas no se explican por falta de presupuesto, sino por factores asociados a la gestión interna y a la capacidad operativa para ejecutar lo programado.</w:t>
      </w:r>
    </w:p>
    <w:p w:rsidR="00743DA6" w:rsidRDefault="00D95D19">
      <w:pPr>
        <w:jc w:val="center"/>
        <w:rPr>
          <w:sz w:val="18"/>
          <w:szCs w:val="18"/>
        </w:rPr>
      </w:pPr>
      <w:r>
        <w:rPr>
          <w:b/>
          <w:bCs/>
          <w:sz w:val="22"/>
          <w:szCs w:val="22"/>
        </w:rPr>
        <w:t>Gráfica x: Histórico presupuestal SDA 2022-2026</w:t>
      </w:r>
      <w:r>
        <w:rPr>
          <w:noProof/>
          <w:sz w:val="22"/>
          <w:szCs w:val="22"/>
          <w:lang w:val="es-CO"/>
        </w:rPr>
        <w:drawing>
          <wp:inline distT="114300" distB="114300" distL="114300" distR="114300">
            <wp:extent cx="5612130" cy="3276600"/>
            <wp:effectExtent l="0" t="0" r="0" b="0"/>
            <wp:docPr id="212739961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3"/>
                    <a:srcRect/>
                    <a:stretch>
                      <a:fillRect/>
                    </a:stretch>
                  </pic:blipFill>
                  <pic:spPr>
                    <a:xfrm>
                      <a:off x="0" y="0"/>
                      <a:ext cx="5612130" cy="3276600"/>
                    </a:xfrm>
                    <a:prstGeom prst="rect">
                      <a:avLst/>
                    </a:prstGeom>
                    <a:ln/>
                  </pic:spPr>
                </pic:pic>
              </a:graphicData>
            </a:graphic>
          </wp:inline>
        </w:drawing>
      </w:r>
      <w:r>
        <w:rPr>
          <w:b/>
          <w:bCs/>
          <w:sz w:val="18"/>
          <w:szCs w:val="18"/>
        </w:rPr>
        <w:t xml:space="preserve">Fuente: </w:t>
      </w:r>
      <w:r>
        <w:rPr>
          <w:sz w:val="18"/>
          <w:szCs w:val="18"/>
        </w:rPr>
        <w:t xml:space="preserve">Elaboración propia (2025) con base en la información suministrada por la SDH (2025) </w:t>
      </w:r>
    </w:p>
    <w:p w:rsidR="00743DA6" w:rsidRDefault="00D95D19">
      <w:pPr>
        <w:spacing w:before="240" w:after="240" w:line="276" w:lineRule="auto"/>
        <w:jc w:val="both"/>
        <w:rPr>
          <w:sz w:val="22"/>
          <w:szCs w:val="22"/>
        </w:rPr>
      </w:pPr>
      <w:r>
        <w:rPr>
          <w:sz w:val="22"/>
          <w:szCs w:val="22"/>
        </w:rPr>
        <w:t>La ejecución real del gasto, representada por la línea roja del gráfico, permite identificar el núcleo del problema. Desde 2022, la Secretaría Distrital de Ambiente ha mostrado dificultades crecientes para convertir el presupuesto asignado en pagos efectivos asociados a bienes y servicios ambientales. Cada año, el nivel de ejecución disminuye respecto al anterior, con un descenso especialmente significativo en 2025, cuando la entidad ejecutó aproximadamente 31,5% del presupuesto disponible. Esto implica que cerca de siete de cada diez pesos aprobados para acciones relacionadas con la protección del agua, los cerros, las cuencas, la calidad del aire, los ecosistemas y la fauna no se traducen en intervenciones concretas que materialicen el derecho a un ambiente sano. Esta situación no corresponde a un evento aislado, sino a la consolidación de una tendencia de varios años que afecta tanto la eficacia de la política ambiental como la capacidad institucional de la Secretaría para cumplir sus objetivos.</w:t>
      </w:r>
    </w:p>
    <w:p w:rsidR="00743DA6" w:rsidRDefault="00D95D19">
      <w:pPr>
        <w:spacing w:before="240" w:after="240" w:line="276" w:lineRule="auto"/>
        <w:jc w:val="both"/>
        <w:rPr>
          <w:sz w:val="22"/>
          <w:szCs w:val="22"/>
        </w:rPr>
      </w:pPr>
      <w:r>
        <w:rPr>
          <w:sz w:val="22"/>
          <w:szCs w:val="22"/>
        </w:rPr>
        <w:t>La diferencia entre el presupuesto contratado (línea naranja) y el presupuesto pagado (línea roja) revela otra dimensión del problema. La Secretaría Distrital de Ambiente logra formalizar contratos y asumir compromisos, pero presenta dificultades para ejecutarlos y efectuar los pagos correspondientes. A partir de 2024, esta brecha se amplía de manera significativa, indicando que la entidad está acumulando obligaciones sin la capacidad operativa o administrativa para cumplirlas en los tiempos previstos. Esta situación genera un rezago financiero relevante, dado que los contratos no ejecutados deben trasladarse como reservas presupuestales o vigencias futuras, lo que incrementa la presión sobre el presupuesto del año siguiente. En consecuencia, la dinámica presupuestal muestra una concentración creciente en compromisos frente a una menor materialización de resultados.</w:t>
      </w:r>
    </w:p>
    <w:p w:rsidR="00743DA6" w:rsidRDefault="00D95D19">
      <w:pPr>
        <w:spacing w:before="240" w:after="240" w:line="276" w:lineRule="auto"/>
        <w:jc w:val="both"/>
        <w:rPr>
          <w:sz w:val="22"/>
          <w:szCs w:val="22"/>
        </w:rPr>
      </w:pPr>
      <w:r>
        <w:rPr>
          <w:sz w:val="22"/>
          <w:szCs w:val="22"/>
        </w:rPr>
        <w:t>El rezago financiero se profundiza en 2024 y 2025, coincidiendo con un periodo en el que Bogotá enfrenta mayores presiones ambientales: episodios críticos de calidad del aire, incremento de incendios forestales, afectaciones en quebradas, expansión de actividades mineras ilícitas, ocupación de rondas hídricas y cerros, deterioro del arbolado urbano y exigencias crecientes asociadas al cambio climático. La información presupuestal muestra que la entidad responsable de atender estos retos registra sus niveles más bajos de ejecución en los últimos años. La gráfica evidencia que la capacidad de respuesta institucional no corresponde a la magnitud de los desafíos ambientales que enfrenta la ciudad.</w:t>
      </w:r>
    </w:p>
    <w:p w:rsidR="00743DA6" w:rsidRDefault="00D95D19">
      <w:pPr>
        <w:spacing w:before="240" w:after="240" w:line="276" w:lineRule="auto"/>
        <w:jc w:val="both"/>
        <w:rPr>
          <w:sz w:val="22"/>
          <w:szCs w:val="22"/>
        </w:rPr>
      </w:pPr>
      <w:r>
        <w:rPr>
          <w:sz w:val="22"/>
          <w:szCs w:val="22"/>
        </w:rPr>
        <w:t>Aunque el presupuesto programado para 2026 se mantiene en niveles similares a los de años anteriores, lo hace con un rezago financiero acumulado que aún no ha sido resuelto. Al examinar la distribución interna, se observa que varias actividades misionales presentan reducciones, especialmente aquellas vinculadas con gestión del agua, calidad del aire, restauración ecológica, participación y educación ambiental, mientras que los incrementos se concentran en rubros de infraestructura interna y actividades administrativas. Esta configuración plantea preguntas sobre la consistencia de la planeación, dado que la entidad registra bajas ejecuciones en sus funciones sustantivas, pero destina más recursos a componentes administrativos, sin que esto se traduzca en un fortalecimiento proporcional de la gestión ambiental.</w:t>
      </w:r>
    </w:p>
    <w:p w:rsidR="00743DA6" w:rsidRDefault="00D95D19">
      <w:pPr>
        <w:spacing w:before="240" w:after="240" w:line="276" w:lineRule="auto"/>
        <w:jc w:val="both"/>
        <w:rPr>
          <w:b/>
          <w:bCs/>
          <w:sz w:val="22"/>
          <w:szCs w:val="22"/>
        </w:rPr>
      </w:pPr>
      <w:r>
        <w:rPr>
          <w:b/>
          <w:bCs/>
          <w:sz w:val="22"/>
          <w:szCs w:val="22"/>
        </w:rPr>
        <w:t>Hallazgos y Alertas</w:t>
      </w:r>
    </w:p>
    <w:p w:rsidR="00743DA6" w:rsidRDefault="00D95D19">
      <w:pPr>
        <w:spacing w:before="240" w:after="240" w:line="276" w:lineRule="auto"/>
        <w:jc w:val="both"/>
        <w:rPr>
          <w:sz w:val="22"/>
          <w:szCs w:val="22"/>
        </w:rPr>
      </w:pPr>
      <w:r>
        <w:rPr>
          <w:sz w:val="22"/>
          <w:szCs w:val="22"/>
        </w:rPr>
        <w:t>Según la información reportada por la Secretaría Distrital de Hacienda, con corte a octubre de 2025, la Secretaría Distrital de Ambiente registra una ejecución del 31,5%, lo que representa un nivel de ejecución significativamente inferior al requerido para el cumplimiento oportuno de sus obligaciones presupuestales.</w:t>
      </w:r>
    </w:p>
    <w:p w:rsidR="00743DA6" w:rsidRDefault="00D95D19">
      <w:pPr>
        <w:numPr>
          <w:ilvl w:val="0"/>
          <w:numId w:val="14"/>
        </w:numPr>
        <w:spacing w:before="240" w:line="276" w:lineRule="auto"/>
        <w:jc w:val="both"/>
        <w:rPr>
          <w:sz w:val="22"/>
          <w:szCs w:val="22"/>
        </w:rPr>
      </w:pPr>
      <w:r>
        <w:rPr>
          <w:sz w:val="22"/>
          <w:szCs w:val="22"/>
        </w:rPr>
        <w:t xml:space="preserve">Presupuesto Programado 2025: $205,803.55 </w:t>
      </w:r>
    </w:p>
    <w:p w:rsidR="00743DA6" w:rsidRDefault="00D95D19">
      <w:pPr>
        <w:numPr>
          <w:ilvl w:val="0"/>
          <w:numId w:val="14"/>
        </w:numPr>
        <w:spacing w:line="276" w:lineRule="auto"/>
        <w:jc w:val="both"/>
        <w:rPr>
          <w:sz w:val="22"/>
          <w:szCs w:val="22"/>
        </w:rPr>
      </w:pPr>
      <w:r>
        <w:rPr>
          <w:sz w:val="22"/>
          <w:szCs w:val="22"/>
        </w:rPr>
        <w:t xml:space="preserve">Presupuesto Comprometido 2025: $121,849.19 </w:t>
      </w:r>
    </w:p>
    <w:p w:rsidR="00743DA6" w:rsidRDefault="00D95D19">
      <w:pPr>
        <w:numPr>
          <w:ilvl w:val="0"/>
          <w:numId w:val="14"/>
        </w:numPr>
        <w:spacing w:line="276" w:lineRule="auto"/>
        <w:jc w:val="both"/>
        <w:rPr>
          <w:sz w:val="22"/>
          <w:szCs w:val="22"/>
        </w:rPr>
      </w:pPr>
      <w:r>
        <w:rPr>
          <w:sz w:val="22"/>
          <w:szCs w:val="22"/>
        </w:rPr>
        <w:t xml:space="preserve">Presupuesto Girado 2025: $64,781.59 </w:t>
      </w:r>
    </w:p>
    <w:p w:rsidR="00743DA6" w:rsidRDefault="00D95D19">
      <w:pPr>
        <w:numPr>
          <w:ilvl w:val="0"/>
          <w:numId w:val="14"/>
        </w:numPr>
        <w:spacing w:after="240" w:line="276" w:lineRule="auto"/>
        <w:jc w:val="both"/>
        <w:rPr>
          <w:sz w:val="22"/>
          <w:szCs w:val="22"/>
        </w:rPr>
      </w:pPr>
      <w:r>
        <w:rPr>
          <w:sz w:val="22"/>
          <w:szCs w:val="22"/>
        </w:rPr>
        <w:t>Presupuesto Programado 2026: $200,222.53</w:t>
      </w:r>
    </w:p>
    <w:p w:rsidR="00743DA6" w:rsidRDefault="00D95D19">
      <w:pPr>
        <w:spacing w:before="240" w:after="240" w:line="276" w:lineRule="auto"/>
        <w:jc w:val="both"/>
        <w:rPr>
          <w:sz w:val="22"/>
          <w:szCs w:val="22"/>
        </w:rPr>
      </w:pPr>
      <w:r>
        <w:rPr>
          <w:sz w:val="22"/>
          <w:szCs w:val="22"/>
        </w:rPr>
        <w:t>En 2025, la Secretaría Distrital de Ambiente alcanzó una Ejecución de Pagos del 31,5% ($64.781 millones girados de $205.803 millones programados), lo que refleja una baja materialización de los recursos asignados. En materia de contratación, la entidad comprometió el 59,2% de su presupuesto, dejando $83.954 millones sin contratar. De los $121.849 millones efectivamente contratados, solo se pagó el 53%, lo que implica un rezago equivalente a $57.067 millones en obligaciones pendientes derivadas de contratos firmados que deberán trasladarse a la vigencia 2026.</w:t>
      </w:r>
    </w:p>
    <w:p w:rsidR="00743DA6" w:rsidRDefault="00D95D19">
      <w:pPr>
        <w:spacing w:before="240" w:after="240" w:line="276" w:lineRule="auto"/>
        <w:jc w:val="center"/>
        <w:rPr>
          <w:sz w:val="22"/>
          <w:szCs w:val="22"/>
        </w:rPr>
      </w:pPr>
      <w:r>
        <w:rPr>
          <w:b/>
          <w:bCs/>
          <w:sz w:val="22"/>
          <w:szCs w:val="22"/>
        </w:rPr>
        <w:t>Tabla No. 17.</w:t>
      </w:r>
      <w:r>
        <w:rPr>
          <w:sz w:val="22"/>
          <w:szCs w:val="22"/>
        </w:rPr>
        <w:t xml:space="preserve"> </w:t>
      </w:r>
      <w:r>
        <w:rPr>
          <w:b/>
          <w:bCs/>
          <w:sz w:val="22"/>
          <w:szCs w:val="22"/>
        </w:rPr>
        <w:t>Actividades que presentan reducciones presupuestales 2025 - 2026 SDA</w:t>
      </w:r>
    </w:p>
    <w:tbl>
      <w:tblPr>
        <w:tblStyle w:val="afffffd"/>
        <w:tblW w:w="9165" w:type="dxa"/>
        <w:tblBorders>
          <w:top w:val="nil"/>
          <w:left w:val="nil"/>
          <w:bottom w:val="nil"/>
          <w:right w:val="nil"/>
          <w:insideH w:val="nil"/>
          <w:insideV w:val="nil"/>
        </w:tblBorders>
        <w:tblLayout w:type="fixed"/>
        <w:tblLook w:val="0600" w:firstRow="0" w:lastRow="0" w:firstColumn="0" w:lastColumn="0" w:noHBand="1" w:noVBand="1"/>
      </w:tblPr>
      <w:tblGrid>
        <w:gridCol w:w="3570"/>
        <w:gridCol w:w="1065"/>
        <w:gridCol w:w="1095"/>
        <w:gridCol w:w="1050"/>
        <w:gridCol w:w="1170"/>
        <w:gridCol w:w="1215"/>
      </w:tblGrid>
      <w:tr w:rsidR="00743DA6">
        <w:trPr>
          <w:trHeight w:val="780"/>
        </w:trPr>
        <w:tc>
          <w:tcPr>
            <w:tcW w:w="3570" w:type="dxa"/>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ACTIVIDAD</w:t>
            </w:r>
          </w:p>
        </w:tc>
        <w:tc>
          <w:tcPr>
            <w:tcW w:w="106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2026</w:t>
            </w:r>
          </w:p>
        </w:tc>
        <w:tc>
          <w:tcPr>
            <w:tcW w:w="109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CONTRATADO 2025</w:t>
            </w:r>
          </w:p>
        </w:tc>
        <w:tc>
          <w:tcPr>
            <w:tcW w:w="105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GIROS 2025</w:t>
            </w:r>
          </w:p>
        </w:tc>
        <w:tc>
          <w:tcPr>
            <w:tcW w:w="117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2026</w:t>
            </w:r>
          </w:p>
        </w:tc>
        <w:tc>
          <w:tcPr>
            <w:tcW w:w="121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DIFERENCIA 2025 - 2026</w:t>
            </w:r>
          </w:p>
        </w:tc>
      </w:tr>
      <w:tr w:rsidR="00743DA6">
        <w:trPr>
          <w:trHeight w:val="171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Formular y/o Actualizar 11 Instrumento(s) de planeación ambiental priorizados.</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$ 1,143</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$ 1,122</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$ 710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$ 335</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-$ 807</w:t>
            </w:r>
          </w:p>
        </w:tc>
      </w:tr>
      <w:tr w:rsidR="00743DA6">
        <w:trPr>
          <w:trHeight w:val="163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Fortalecer 11 Mecanismo(s) los mecanismos de coordinación interinstitucional a nivel distrital y regional para optimizar la planeación, ejecución y el seguimiento de las inversiones asociadas al ejercicio de autoridad y de gestión ambiental de la SDA.</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$ 2,160</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$ 1,986</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$ 1,167</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$ 1,587</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-$ 573</w:t>
            </w:r>
          </w:p>
        </w:tc>
      </w:tr>
      <w:tr w:rsidR="00743DA6">
        <w:trPr>
          <w:trHeight w:val="147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Realizar 84 Acción(es) para fortalecer la gestión de la información ambiental .</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$ 763</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$ 634</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$ 395</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$ 455</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-$ 308</w:t>
            </w:r>
          </w:p>
        </w:tc>
      </w:tr>
      <w:tr w:rsidR="00743DA6">
        <w:trPr>
          <w:trHeight w:val="195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5 - Fortalecer 5 Informe(s) la capacidad de análisis, modelamiento y generación de información ambiental</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$ 1,076</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$ 802</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$ 500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$ 609</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-$ 466</w:t>
            </w:r>
          </w:p>
        </w:tc>
      </w:tr>
      <w:tr w:rsidR="00743DA6">
        <w:trPr>
          <w:trHeight w:val="126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7 - Realizar 43 Acción(es) de acompañamiento y seguimiento integral a nivel técnico y financiero para la gestión de proyectos de la entidad.</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$ 1,431</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$ 1,320</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$ 843</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$ 1,259</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-$ 172</w:t>
            </w:r>
          </w:p>
        </w:tc>
      </w:tr>
      <w:tr w:rsidR="00743DA6">
        <w:trPr>
          <w:trHeight w:val="133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8 - Realizar 7 Acción(es) de actualización, implementación y seguimiento de las estrategias de Cooperación Internacional de la entidad</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$ 476</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$ 444</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$ 295</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$ 447</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-$ 29</w:t>
            </w:r>
          </w:p>
        </w:tc>
      </w:tr>
      <w:tr w:rsidR="00743DA6">
        <w:trPr>
          <w:trHeight w:val="142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6 - Realizar 100 Porciento de los seguimientos a los acuerdos de conservación y de ordenamiento ambiental de fincas OAF suscritos y vigentes</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$ 284</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$ 275</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$ 161</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$ 206</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-$ 78</w:t>
            </w:r>
          </w:p>
        </w:tc>
      </w:tr>
      <w:tr w:rsidR="00743DA6">
        <w:trPr>
          <w:trHeight w:val="154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Diseñar 1 Estrategia(s) de renovación urbana verde y realizar el seguimiento a los actores involucrados en su implementación</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$ 775</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$ 97</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$ 392</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-$ 383</w:t>
            </w:r>
          </w:p>
        </w:tc>
      </w:tr>
      <w:tr w:rsidR="00743DA6">
        <w:trPr>
          <w:trHeight w:val="88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Formular implementar y hacer seguimiento al 100 Porciento de las actividades definidas en los planes de trabajo de los RDH, PEDM y paisajes sostenibles.</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$ 45,017</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$ 29,311</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$ 12,706</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$ 42,317</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-$ 2,700</w:t>
            </w:r>
          </w:p>
        </w:tc>
      </w:tr>
      <w:tr w:rsidR="00743DA6">
        <w:trPr>
          <w:trHeight w:val="195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9 - Implementar ,84 Programa(s) para reducir la vulnerabilidad de riesgos climáticos.</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$ 8,038</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$ 2,670</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$ 1,354</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$ 3,049</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-$ 4,989</w:t>
            </w:r>
          </w:p>
        </w:tc>
      </w:tr>
      <w:tr w:rsidR="00743DA6">
        <w:trPr>
          <w:trHeight w:val="195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Incluir en 650 Proyecto(s) la incorporación de criterios de ecourbanismo y construcción sostenible</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$ 1,930</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$ 1,117</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$ 634</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$ 1,896</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w:t>
            </w:r>
          </w:p>
        </w:tc>
      </w:tr>
      <w:tr w:rsidR="00743DA6">
        <w:trPr>
          <w:trHeight w:val="195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Promover en 1050 Proyecto(s) la incorporación de criterios de producción y consumo sostenible.</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$ 3,430</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$ 3,162</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$ 1,632</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$ 3,077</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-$ 353</w:t>
            </w:r>
          </w:p>
        </w:tc>
      </w:tr>
      <w:tr w:rsidR="00743DA6">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Intervenir 2500 Hectárea(s) de conectores ecosistémicos para aumentar la conectividad de los elementos de la Estructura Ecológica Principal</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$ 4,461</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$ 2,472</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$ 1,279</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$ 4,201</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-$ 261</w:t>
            </w:r>
          </w:p>
        </w:tc>
      </w:tr>
      <w:tr w:rsidR="00743DA6">
        <w:trPr>
          <w:trHeight w:val="78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Proceso(s) de participación ciudadana realizados con organizaciones ambientales y comunidad en general en las 20 localidades.</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$ 4,245</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$ 2,799</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$ 1,823</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$ 3,116</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-$ 1,130</w:t>
            </w:r>
          </w:p>
        </w:tc>
      </w:tr>
      <w:tr w:rsidR="00743DA6">
        <w:trPr>
          <w:trHeight w:val="148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Desarrollar 4 Informe(s) del proceso de implementación de la actualización del modelo de servicio al ciudadano de la Secretaría Distrital de Ambiente con énfasis en educación ambiental y participación ciudadana</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$ 1,610</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$ 1,303</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$ 884</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$ 1,420</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-$ 190</w:t>
            </w:r>
          </w:p>
        </w:tc>
      </w:tr>
      <w:tr w:rsidR="00743DA6">
        <w:trPr>
          <w:trHeight w:val="171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Vincular a 1600000 Persona(s) que participan en las estrategias de educación ambiental</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$ 3,743</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$ 3,393</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$ 2,397</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$ 3,337</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-$ 406</w:t>
            </w:r>
          </w:p>
        </w:tc>
      </w:tr>
      <w:tr w:rsidR="00743DA6">
        <w:trPr>
          <w:trHeight w:val="147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Vincular a 40000 Persona(s) que reciben las estrategias de comunicación</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$ 2,490</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$ 2,089</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$ 970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$ 1,834</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-$ 656</w:t>
            </w:r>
          </w:p>
        </w:tc>
      </w:tr>
      <w:tr w:rsidR="00743DA6">
        <w:trPr>
          <w:trHeight w:val="108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15 - Realizar 52200 Actuación(es) en el marco del procedimiento sancionatorio ambiental, licenciamiento ambiental y demás instrumentos de manejo y control</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$ 11,067</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$ 5,942</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$ 3,146</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$ 8,322</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-$ 2,745</w:t>
            </w:r>
          </w:p>
        </w:tc>
      </w:tr>
      <w:tr w:rsidR="00743DA6">
        <w:trPr>
          <w:trHeight w:val="54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14 - Realizar 25200 Actuación(es) de control y seguimiento a los usuarios de la cadena de gestión de los residuos peligrosos, especiales y de manejo diferenciado</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$ 3,155</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$ 3,013</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$ 1,837</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$ 1,819</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-$ 1,336</w:t>
            </w:r>
          </w:p>
        </w:tc>
      </w:tr>
      <w:tr w:rsidR="00743DA6">
        <w:trPr>
          <w:trHeight w:val="108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Realizar 6 Informe(s) de seguimiento a la implementación de 1 fondo financiero para la renovación del parque automotor de carga</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$ 3,734</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$ 3,306</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$ 3,209</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$ 3,235</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-$ 499</w:t>
            </w:r>
          </w:p>
        </w:tc>
      </w:tr>
      <w:tr w:rsidR="00743DA6">
        <w:trPr>
          <w:trHeight w:val="165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Realizar 7 Informe(s) de seguimiento a la implementación de la ZUMA BOSA APOGEO y a la declaratoria y seguimiento a la implementación de la nueva ZUMA declarada</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$ 541</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$ 66</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$ 53</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$ 50</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-$ 491</w:t>
            </w:r>
          </w:p>
        </w:tc>
      </w:tr>
      <w:tr w:rsidR="00743DA6">
        <w:trPr>
          <w:trHeight w:val="127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Ejecutar el 100 Porciento de las actuaciones asociadas con el monitoreo periódico del recurso hídrico en el Distrito Capital y sus factores de impacto</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$ 4,010</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$ 3,231</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$ 1,047</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$ 3,468</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-$ 541</w:t>
            </w:r>
          </w:p>
        </w:tc>
      </w:tr>
      <w:tr w:rsidR="00743DA6">
        <w:trPr>
          <w:trHeight w:val="73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5 - Desarrollar el 100 Porciento de las actuaciones de planificación para la gestión integral del recurso hídrico, definidas para cada una de las vigencias</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$ 2,706</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$ 228</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$ 151</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$ 318</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-$ 2,388</w:t>
            </w:r>
          </w:p>
        </w:tc>
      </w:tr>
      <w:tr w:rsidR="00743DA6">
        <w:trPr>
          <w:trHeight w:val="153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12 - Realizar 107417 Actuación(es) de evaluación, control, seguimiento y prevención ejecutadas sobre el arbolado urbano</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$ 8,390</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$ 6,153</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$ 3,238</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$ 7,118</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-$ 1,272</w:t>
            </w:r>
          </w:p>
        </w:tc>
      </w:tr>
      <w:tr w:rsidR="00743DA6">
        <w:trPr>
          <w:trHeight w:val="220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7 - Realizar el 100 Porciento de las actuaciones de evaluación, control y seguimiento a predios identificados como sitios potencialmente contaminados, sitios contaminados o con pasivos ambientales en el DC</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$ 1,056</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$ 1,025</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$ 647</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$ 406</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-$ 650</w:t>
            </w:r>
          </w:p>
        </w:tc>
      </w:tr>
      <w:tr w:rsidR="00743DA6">
        <w:trPr>
          <w:trHeight w:val="147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8 - Realizar el 100 Porciento de las actuaciones de evaluación, control y seguimiento a usuarios que realizan o realizaron almacenamiento, distribución y/o transporte de hidrocarburos líquidos en el DC</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$ 694</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$ 633</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$ 381</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$ 315</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-$ 380</w:t>
            </w:r>
          </w:p>
        </w:tc>
      </w:tr>
      <w:tr w:rsidR="00743DA6">
        <w:trPr>
          <w:trHeight w:val="73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10 - Desarrollar 4 Documento(s) que establezcan los lineamientos para la gestión integral del recurso suelo.</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$ 72</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$ 49</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$ 0</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-$ 72</w:t>
            </w:r>
          </w:p>
        </w:tc>
      </w:tr>
      <w:tr w:rsidR="00743DA6">
        <w:trPr>
          <w:trHeight w:val="149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Ejecutar el 100 Porciento de las actuaciones de control y seguimiento a la EEP para evidenciar las actividades ilegales o no autorizadas que causan impactos negativos a la EEP</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$ 1,141</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$ 959</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$ 583</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$ 445</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-$ 696</w:t>
            </w:r>
          </w:p>
        </w:tc>
      </w:tr>
      <w:tr w:rsidR="00743DA6">
        <w:trPr>
          <w:trHeight w:val="57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Realizar 7 Informe(s) de seguimiento a la implementación y actualización del Plan Aire</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$ 1,414</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$ 1,067</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$ 614</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$ 950</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-$ 464</w:t>
            </w:r>
          </w:p>
        </w:tc>
      </w:tr>
      <w:tr w:rsidR="00743DA6">
        <w:trPr>
          <w:trHeight w:val="100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5 - Realizar 7 Informe(s) de modelación atmosférica</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$ 345</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$ 263</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$ 153</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$ 262</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-$ 84</w:t>
            </w:r>
          </w:p>
        </w:tc>
      </w:tr>
      <w:tr w:rsidR="00743DA6">
        <w:trPr>
          <w:trHeight w:val="109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6 - Realizar 7 Informe(s) de gestión del Sistema de Alertas Tempranas Ambientales de Bogotá -SATAB aire-</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$ 504</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$ 373</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$ 210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$ 449</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-$ 55</w:t>
            </w:r>
          </w:p>
        </w:tc>
      </w:tr>
      <w:tr w:rsidR="00743DA6">
        <w:trPr>
          <w:trHeight w:val="151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7 - Realizar 7 Informe(s) sobre las acciones de gestión realizadas frente a incendios forestales de la ciudad y la región, y los resultados de la modelación de los mismos incluyendo la estimación de sus impactos en la calidad del aire de Bogotá</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$ 154</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$ 133</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$ 154</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-$ 0</w:t>
            </w:r>
          </w:p>
        </w:tc>
      </w:tr>
      <w:tr w:rsidR="00743DA6">
        <w:trPr>
          <w:trHeight w:val="81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9 - Realizar 7 Informe(s) sobre la evaluación control y seguimiento a Fuentes móviles, incluidos los CDA´s</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$ 1,240</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$ 998</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$ 605</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$ 1,227</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w:t>
            </w:r>
          </w:p>
        </w:tc>
      </w:tr>
      <w:tr w:rsidR="00743DA6">
        <w:trPr>
          <w:trHeight w:val="97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10 - Realizar 7 Informe(s) sobre evaluación, control y seguimiento de emisión de Ruido en el Perímetro urbano del DC</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$ 536</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$ 536</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$ 279</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$ 482</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-$ 55</w:t>
            </w:r>
          </w:p>
        </w:tc>
      </w:tr>
      <w:tr w:rsidR="00743DA6">
        <w:trPr>
          <w:trHeight w:val="939"/>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12 - Realizar 7 Informe(s) sobre evaluación, control y seguimiento a Publicidad Exterior Visual</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$ 2,408</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$ 2,216</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$ 1,231</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$ 2,406</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w:t>
            </w:r>
          </w:p>
        </w:tc>
      </w:tr>
      <w:tr w:rsidR="00743DA6">
        <w:trPr>
          <w:trHeight w:val="108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13 - Elaborar 4 Documento(s) de actualización y seguimiento normativo sobre Publicidad Exterior Visual</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$ 317</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$ 37</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$ 104</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-$ 213</w:t>
            </w:r>
          </w:p>
        </w:tc>
      </w:tr>
      <w:tr w:rsidR="00743DA6">
        <w:trPr>
          <w:trHeight w:val="100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14 - Realizar 59 Informe(s) de Calidad del Aire</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$ 5,982</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$ 1,836</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$ 675</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$ 2,053</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-$ 3,930</w:t>
            </w:r>
          </w:p>
        </w:tc>
      </w:tr>
      <w:tr w:rsidR="00743DA6">
        <w:trPr>
          <w:trHeight w:val="84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15 - Realizar 7 Informe(s) de gestión de la medición a emisiones atmosféricas en fuentes fijas puntuales</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$ 1,106</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$ 363</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$ 162</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$ 451</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-$ 655</w:t>
            </w:r>
          </w:p>
        </w:tc>
      </w:tr>
      <w:tr w:rsidR="00743DA6">
        <w:trPr>
          <w:trHeight w:val="88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16 - Realizar 7 Informe(s) de gestión de la medición a emisiones atmosféricas en fuentes móviles</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$ 2,274</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$ 907</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$ 550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$ 1,614</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-$ 659</w:t>
            </w:r>
          </w:p>
        </w:tc>
      </w:tr>
      <w:tr w:rsidR="00743DA6">
        <w:trPr>
          <w:trHeight w:val="94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17 - Realizar 7 Informe(s) de gestión sobre la operación de la red de monitoreo de ruido ambiental de Bogotá</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$ 1,118</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$ 533</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$ 288</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$ 632</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-$ 486</w:t>
            </w:r>
          </w:p>
        </w:tc>
      </w:tr>
      <w:tr w:rsidR="00743DA6">
        <w:trPr>
          <w:trHeight w:val="174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18 - Realizar 7 Informe(s) sobre reportes de resultados de visitas de emisión de ruido en establecimientos de comercio, industria y servicio en el perímetro urbano del Distrito Capital</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$ 1,151</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$ 428</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$ 273</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$ 558</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-$ 593</w:t>
            </w:r>
          </w:p>
        </w:tc>
      </w:tr>
      <w:tr w:rsidR="00743DA6">
        <w:trPr>
          <w:trHeight w:val="26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19 - Realizar 7 Informe(s) sobre las actividades relacionadas con la acreditación, autorización y el sistema de Gestión para las matrices aire y ruido en el Laboratorio Ambiental de la SDA</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$ 702</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$ 245</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$ 155</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$ 335</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-$ 367</w:t>
            </w:r>
          </w:p>
        </w:tc>
      </w:tr>
      <w:tr w:rsidR="00743DA6">
        <w:trPr>
          <w:trHeight w:val="166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Realizar el 100 Porciento de las actividades para fortalecer la gestión de la información y los ciclos de vida de los sistemas de información</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$ 2,253</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$ 1,482</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$ 842</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$ 1,893</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-$ 360</w:t>
            </w:r>
          </w:p>
        </w:tc>
      </w:tr>
      <w:tr w:rsidR="00743DA6">
        <w:trPr>
          <w:trHeight w:val="130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Fortalecer en 24 Porciento el índice de gestión de los servicios e infraestructura tecnológica y de la seguridad digital de la Secretaría Distrital de Ambiente</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$ 4,781</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$ 2,632</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$ 1,450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$ 4,420</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-$ 360</w:t>
            </w:r>
          </w:p>
        </w:tc>
      </w:tr>
      <w:tr w:rsidR="00743DA6">
        <w:trPr>
          <w:trHeight w:val="78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Adoptar 1 Decreto(s) Único Sectorial</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$ 313</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$ 311</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$ 313</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-$ 0</w:t>
            </w:r>
          </w:p>
        </w:tc>
      </w:tr>
      <w:tr w:rsidR="00743DA6">
        <w:trPr>
          <w:trHeight w:val="123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Atender el 100 Porciento de los procesos judiciales, contencioso administrativos, constitucionales y extrajudiciales, en los que la SDA es parte o interviene como autoridad ambiental.</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$ 543</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$ 471</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$ 301</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$ 455</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-$ 88</w:t>
            </w:r>
          </w:p>
        </w:tc>
      </w:tr>
      <w:tr w:rsidR="00743DA6">
        <w:trPr>
          <w:trHeight w:val="171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6 - Realizar 100 Porciento de Inspección, Vigilancia y Control a ESAL de carácter ambiental</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$ 140</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$ 140</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$ 89</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$ 99</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-$ 41</w:t>
            </w:r>
          </w:p>
        </w:tc>
      </w:tr>
      <w:tr w:rsidR="00743DA6">
        <w:trPr>
          <w:trHeight w:val="69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Fortalecer el 100 Porciento de la gestión del talento humano de la SDA.</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$ 1,950</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$ 1,817</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$ 1,121</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$ 1,366</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-$ 584</w:t>
            </w:r>
          </w:p>
        </w:tc>
      </w:tr>
      <w:tr w:rsidR="00743DA6">
        <w:trPr>
          <w:trHeight w:val="1560"/>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Realizar el 100 Porciento de las acciones programadas para el fortalecimiento de la gestión y desempeño ambiental en la SDA.</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$ 190</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$ 133</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$ 82</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-$ 108</w:t>
            </w:r>
          </w:p>
        </w:tc>
      </w:tr>
      <w:tr w:rsidR="00743DA6">
        <w:trPr>
          <w:trHeight w:val="76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5 - Cumplir el 100 Porciento con los estándares establecidos y la normatividad vigente en materia de control interno y control interno disciplinario</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$ 1,294</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$ 1,064</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$ 714</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$ 1,038</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-$ 256</w:t>
            </w:r>
          </w:p>
        </w:tc>
      </w:tr>
      <w:tr w:rsidR="00743DA6">
        <w:trPr>
          <w:trHeight w:val="106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6 - Realizar el 100 Porciento de las actividades de construcción de obras necesarias para el funcionamiento de la entidad y sector</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$ 112</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$ 111</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$ 88</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$ 0</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-$ 112</w:t>
            </w:r>
          </w:p>
        </w:tc>
      </w:tr>
      <w:tr w:rsidR="00743DA6">
        <w:trPr>
          <w:trHeight w:val="435"/>
        </w:trPr>
        <w:tc>
          <w:tcPr>
            <w:tcW w:w="35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7 - Garantizar el 100 Porciento de los espacios requeridos para el funcionamiento de la SDA</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$ 599</w:t>
            </w:r>
          </w:p>
        </w:tc>
        <w:tc>
          <w:tcPr>
            <w:tcW w:w="10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$ 428</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$ 61</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$ 267</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-$ 332</w:t>
            </w:r>
          </w:p>
        </w:tc>
      </w:tr>
    </w:tbl>
    <w:p w:rsidR="00743DA6" w:rsidRDefault="00D95D19">
      <w:pPr>
        <w:spacing w:before="240" w:after="240" w:line="276" w:lineRule="auto"/>
        <w:jc w:val="center"/>
        <w:rPr>
          <w:b/>
          <w:bCs/>
          <w:sz w:val="22"/>
          <w:szCs w:val="22"/>
        </w:rPr>
      </w:pPr>
      <w:r>
        <w:rPr>
          <w:b/>
          <w:bCs/>
          <w:sz w:val="18"/>
          <w:szCs w:val="18"/>
        </w:rPr>
        <w:t>Fuente:</w:t>
      </w:r>
      <w:r>
        <w:rPr>
          <w:sz w:val="18"/>
          <w:szCs w:val="18"/>
        </w:rPr>
        <w:t xml:space="preserve"> Elaboración propia (2025) con base a información suministrada por la Secretaría Distrital de Hacienda. </w:t>
      </w:r>
    </w:p>
    <w:p w:rsidR="00743DA6" w:rsidRDefault="00D95D19">
      <w:pPr>
        <w:jc w:val="both"/>
        <w:rPr>
          <w:sz w:val="22"/>
          <w:szCs w:val="22"/>
        </w:rPr>
      </w:pPr>
      <w:r>
        <w:rPr>
          <w:sz w:val="22"/>
          <w:szCs w:val="22"/>
        </w:rPr>
        <w:t>A continuación se enuncian y analizan algunas de las actividades que generan mayor preocupación por sus recortes presupuestales, esto teniendo en cuenta que 52 de las 72 actividades de las SDA sufrieron recortes presupuestales:</w:t>
      </w:r>
    </w:p>
    <w:p w:rsidR="00743DA6" w:rsidRDefault="00743DA6">
      <w:pPr>
        <w:rPr>
          <w:sz w:val="22"/>
          <w:szCs w:val="22"/>
        </w:rPr>
      </w:pPr>
    </w:p>
    <w:p w:rsidR="00743DA6" w:rsidRDefault="00D95D19">
      <w:pPr>
        <w:spacing w:after="480" w:line="276" w:lineRule="auto"/>
        <w:rPr>
          <w:sz w:val="22"/>
          <w:szCs w:val="22"/>
        </w:rPr>
      </w:pPr>
      <w:r>
        <w:rPr>
          <w:b/>
          <w:bCs/>
          <w:color w:val="1B1C1D"/>
          <w:sz w:val="22"/>
          <w:szCs w:val="22"/>
        </w:rPr>
        <w:t xml:space="preserve">Vulnerabilidad de riesgos climáticos - </w:t>
      </w:r>
      <w:r>
        <w:rPr>
          <w:sz w:val="22"/>
          <w:szCs w:val="22"/>
        </w:rPr>
        <w:t>9 - Implementar ,84 Programa(s) para reducir la vulnerabilidad de riesgos climáticos.</w:t>
      </w:r>
    </w:p>
    <w:p w:rsidR="00743DA6" w:rsidRDefault="00D95D19">
      <w:pPr>
        <w:spacing w:after="480" w:line="276" w:lineRule="auto"/>
        <w:jc w:val="both"/>
        <w:rPr>
          <w:sz w:val="22"/>
          <w:szCs w:val="22"/>
        </w:rPr>
      </w:pPr>
      <w:r>
        <w:rPr>
          <w:sz w:val="22"/>
          <w:szCs w:val="22"/>
        </w:rPr>
        <w:t>La actividad orientada a reducir la vulnerabilidad frente a riesgos climáticos presenta dificultades de gestión y una disminución notable en su priorización presupuestal. En 2025 se aprobaron $8.038 millones, de los cuales la Secretaría comprometió $2.670 millones (33 %) y giró $1.354 millones (17 %), lo que muestra una baja capacidad para ejecutar acciones de adaptación climática. Para 2026, el presupuesto asignado desciende a $3.049 millones, equivalente a una reducción del 62 % respecto a 2025. En consecuencia, una de las líneas fundamentales para atender incendios, inundaciones y otros eventos extremos registra una ejecución limitada en 2025 y una disminución significativa en su financiación para 2026, afectando la capacidad institucional para fortalecer las medidas de adaptación al cambio climático.</w:t>
      </w:r>
    </w:p>
    <w:p w:rsidR="00743DA6" w:rsidRDefault="00D95D19">
      <w:pPr>
        <w:pBdr>
          <w:top w:val="nil"/>
          <w:left w:val="nil"/>
          <w:bottom w:val="nil"/>
          <w:right w:val="nil"/>
          <w:between w:val="nil"/>
        </w:pBdr>
        <w:rPr>
          <w:b/>
          <w:bCs/>
          <w:sz w:val="22"/>
          <w:szCs w:val="22"/>
        </w:rPr>
      </w:pPr>
      <w:r>
        <w:rPr>
          <w:b/>
          <w:bCs/>
          <w:sz w:val="22"/>
          <w:szCs w:val="22"/>
        </w:rPr>
        <w:t>Calidad del Aire</w:t>
      </w:r>
    </w:p>
    <w:p w:rsidR="00743DA6" w:rsidRDefault="00743DA6">
      <w:pPr>
        <w:pBdr>
          <w:top w:val="nil"/>
          <w:left w:val="nil"/>
          <w:bottom w:val="nil"/>
          <w:right w:val="nil"/>
          <w:between w:val="nil"/>
        </w:pBdr>
        <w:rPr>
          <w:sz w:val="22"/>
          <w:szCs w:val="22"/>
        </w:rPr>
      </w:pPr>
    </w:p>
    <w:p w:rsidR="00743DA6" w:rsidRDefault="00D95D19">
      <w:pPr>
        <w:pBdr>
          <w:top w:val="nil"/>
          <w:left w:val="nil"/>
          <w:bottom w:val="nil"/>
          <w:right w:val="nil"/>
          <w:between w:val="nil"/>
        </w:pBdr>
        <w:rPr>
          <w:sz w:val="22"/>
          <w:szCs w:val="22"/>
        </w:rPr>
      </w:pPr>
      <w:r>
        <w:rPr>
          <w:sz w:val="22"/>
          <w:szCs w:val="22"/>
        </w:rPr>
        <w:t>14 - Realizar 59 Informe(s) de Calidad del Aire</w:t>
      </w:r>
      <w:r>
        <w:rPr>
          <w:sz w:val="22"/>
          <w:szCs w:val="22"/>
        </w:rPr>
        <w:tab/>
      </w:r>
    </w:p>
    <w:p w:rsidR="00743DA6" w:rsidRDefault="00D95D19">
      <w:pPr>
        <w:pBdr>
          <w:top w:val="nil"/>
          <w:left w:val="nil"/>
          <w:bottom w:val="nil"/>
          <w:right w:val="nil"/>
          <w:between w:val="nil"/>
        </w:pBdr>
        <w:rPr>
          <w:sz w:val="22"/>
          <w:szCs w:val="22"/>
        </w:rPr>
      </w:pPr>
      <w:r>
        <w:rPr>
          <w:sz w:val="22"/>
          <w:szCs w:val="22"/>
        </w:rPr>
        <w:t>16 - Realizar 7 Informe(s) de gestión de la medición a emisiones atmosféricas en fuentes móviles</w:t>
      </w:r>
      <w:r>
        <w:rPr>
          <w:sz w:val="22"/>
          <w:szCs w:val="22"/>
        </w:rPr>
        <w:tab/>
      </w:r>
    </w:p>
    <w:p w:rsidR="00743DA6" w:rsidRDefault="00D95D19">
      <w:pPr>
        <w:pBdr>
          <w:top w:val="nil"/>
          <w:left w:val="nil"/>
          <w:bottom w:val="nil"/>
          <w:right w:val="nil"/>
          <w:between w:val="nil"/>
        </w:pBdr>
        <w:rPr>
          <w:sz w:val="22"/>
          <w:szCs w:val="22"/>
        </w:rPr>
      </w:pPr>
      <w:r>
        <w:rPr>
          <w:sz w:val="22"/>
          <w:szCs w:val="22"/>
        </w:rPr>
        <w:t>15 - Realizar 7 Informe(s) de gestión de la medición a emisiones atmosféricas en fuentes fijas puntuales</w:t>
      </w:r>
      <w:r>
        <w:rPr>
          <w:sz w:val="22"/>
          <w:szCs w:val="22"/>
        </w:rPr>
        <w:tab/>
      </w:r>
    </w:p>
    <w:p w:rsidR="00743DA6" w:rsidRDefault="00743DA6">
      <w:pPr>
        <w:pBdr>
          <w:top w:val="nil"/>
          <w:left w:val="nil"/>
          <w:bottom w:val="nil"/>
          <w:right w:val="nil"/>
          <w:between w:val="nil"/>
        </w:pBdr>
        <w:rPr>
          <w:sz w:val="22"/>
          <w:szCs w:val="22"/>
        </w:rPr>
      </w:pPr>
    </w:p>
    <w:p w:rsidR="00743DA6" w:rsidRDefault="00D95D19">
      <w:pPr>
        <w:pBdr>
          <w:top w:val="nil"/>
          <w:left w:val="nil"/>
          <w:bottom w:val="nil"/>
          <w:right w:val="nil"/>
          <w:between w:val="nil"/>
        </w:pBdr>
        <w:jc w:val="both"/>
        <w:rPr>
          <w:sz w:val="22"/>
          <w:szCs w:val="22"/>
        </w:rPr>
      </w:pPr>
      <w:r>
        <w:rPr>
          <w:sz w:val="22"/>
          <w:szCs w:val="22"/>
        </w:rPr>
        <w:t>El componente de calidad del aire y control de emisiones refleja, por un lado, una baja ejecución en 2025 y, por otro, una reducción presupuestal significativa para 2026. La actividad de elaboración de informes de calidad del aire pasó de $5.982 millones programados en 2025, con $1.836 millones comprometidos y $675 millones girados, a $2.053 millones en 2026. De forma paralela, los informes de emisiones en fuentes móviles descienden de $2.274 millones a $1.614 millones, mientras que los de fuentes fijas puntuales caen de $1.106 millones a $451 millones, pese a la baja ejecución registrada en 2025. Con estos ajustes, la capacidad de monitoreo y control de la contaminación atmosférica se ve sustancialmente limitada.</w:t>
      </w:r>
    </w:p>
    <w:p w:rsidR="00743DA6" w:rsidRDefault="00743DA6">
      <w:pPr>
        <w:pBdr>
          <w:top w:val="nil"/>
          <w:left w:val="nil"/>
          <w:bottom w:val="nil"/>
          <w:right w:val="nil"/>
          <w:between w:val="nil"/>
        </w:pBdr>
        <w:rPr>
          <w:sz w:val="22"/>
          <w:szCs w:val="22"/>
        </w:rPr>
      </w:pPr>
    </w:p>
    <w:p w:rsidR="00743DA6" w:rsidRDefault="00D95D19">
      <w:pPr>
        <w:pBdr>
          <w:top w:val="nil"/>
          <w:left w:val="nil"/>
          <w:bottom w:val="nil"/>
          <w:right w:val="nil"/>
          <w:between w:val="nil"/>
        </w:pBdr>
        <w:rPr>
          <w:b/>
          <w:bCs/>
          <w:sz w:val="22"/>
          <w:szCs w:val="22"/>
        </w:rPr>
      </w:pPr>
      <w:r>
        <w:rPr>
          <w:b/>
          <w:bCs/>
          <w:sz w:val="22"/>
          <w:szCs w:val="22"/>
        </w:rPr>
        <w:t>Gestión del Agua</w:t>
      </w:r>
    </w:p>
    <w:p w:rsidR="00743DA6" w:rsidRDefault="00743DA6">
      <w:pPr>
        <w:pBdr>
          <w:top w:val="nil"/>
          <w:left w:val="nil"/>
          <w:bottom w:val="nil"/>
          <w:right w:val="nil"/>
          <w:between w:val="nil"/>
        </w:pBdr>
        <w:rPr>
          <w:sz w:val="22"/>
          <w:szCs w:val="22"/>
        </w:rPr>
      </w:pPr>
    </w:p>
    <w:p w:rsidR="00743DA6" w:rsidRDefault="00D95D19">
      <w:pPr>
        <w:pBdr>
          <w:top w:val="nil"/>
          <w:left w:val="nil"/>
          <w:bottom w:val="nil"/>
          <w:right w:val="nil"/>
          <w:between w:val="nil"/>
        </w:pBdr>
        <w:jc w:val="both"/>
        <w:rPr>
          <w:sz w:val="22"/>
          <w:szCs w:val="22"/>
        </w:rPr>
      </w:pPr>
      <w:r>
        <w:rPr>
          <w:sz w:val="22"/>
          <w:szCs w:val="22"/>
        </w:rPr>
        <w:t>5 - Desarrollar el 100 porciento de las actuaciones de planificación para la gestión integral del recurso hídrico, definidas para cada una de las vigencias.</w:t>
      </w:r>
      <w:r>
        <w:rPr>
          <w:sz w:val="22"/>
          <w:szCs w:val="22"/>
        </w:rPr>
        <w:tab/>
      </w:r>
    </w:p>
    <w:p w:rsidR="00743DA6" w:rsidRDefault="00D95D19">
      <w:pPr>
        <w:pBdr>
          <w:top w:val="nil"/>
          <w:left w:val="nil"/>
          <w:bottom w:val="nil"/>
          <w:right w:val="nil"/>
          <w:between w:val="nil"/>
        </w:pBdr>
        <w:jc w:val="both"/>
        <w:rPr>
          <w:sz w:val="22"/>
          <w:szCs w:val="22"/>
        </w:rPr>
      </w:pPr>
      <w:r>
        <w:rPr>
          <w:sz w:val="22"/>
          <w:szCs w:val="22"/>
        </w:rPr>
        <w:t>4 - Ejecutar el 100 porciento de las actuaciones asociadas con el monitoreo periódico del recurso hídrico en el Distrito Capital y sus factores de impacto.</w:t>
      </w:r>
    </w:p>
    <w:p w:rsidR="00743DA6" w:rsidRDefault="00743DA6">
      <w:pPr>
        <w:pBdr>
          <w:top w:val="nil"/>
          <w:left w:val="nil"/>
          <w:bottom w:val="nil"/>
          <w:right w:val="nil"/>
          <w:between w:val="nil"/>
        </w:pBdr>
        <w:jc w:val="both"/>
        <w:rPr>
          <w:sz w:val="22"/>
          <w:szCs w:val="22"/>
        </w:rPr>
      </w:pPr>
    </w:p>
    <w:p w:rsidR="00743DA6" w:rsidRDefault="00D95D19">
      <w:pPr>
        <w:pBdr>
          <w:top w:val="nil"/>
          <w:left w:val="nil"/>
          <w:bottom w:val="nil"/>
          <w:right w:val="nil"/>
          <w:between w:val="nil"/>
        </w:pBdr>
        <w:jc w:val="both"/>
        <w:rPr>
          <w:sz w:val="22"/>
          <w:szCs w:val="22"/>
        </w:rPr>
      </w:pPr>
      <w:r>
        <w:rPr>
          <w:sz w:val="22"/>
          <w:szCs w:val="22"/>
        </w:rPr>
        <w:t>Estas dos actividades son objeto de reducción presupuestal contrastando con la siguiente actividad de control a usuarios que sí recibe aumento presupuestal:</w:t>
      </w:r>
    </w:p>
    <w:p w:rsidR="00743DA6" w:rsidRDefault="00743DA6">
      <w:pPr>
        <w:pBdr>
          <w:top w:val="nil"/>
          <w:left w:val="nil"/>
          <w:bottom w:val="nil"/>
          <w:right w:val="nil"/>
          <w:between w:val="nil"/>
        </w:pBdr>
        <w:jc w:val="both"/>
        <w:rPr>
          <w:sz w:val="22"/>
          <w:szCs w:val="22"/>
        </w:rPr>
      </w:pPr>
    </w:p>
    <w:p w:rsidR="00743DA6" w:rsidRDefault="00D95D19">
      <w:pPr>
        <w:pBdr>
          <w:top w:val="nil"/>
          <w:left w:val="nil"/>
          <w:bottom w:val="nil"/>
          <w:right w:val="nil"/>
          <w:between w:val="nil"/>
        </w:pBdr>
        <w:jc w:val="both"/>
        <w:rPr>
          <w:sz w:val="22"/>
          <w:szCs w:val="22"/>
        </w:rPr>
      </w:pPr>
      <w:r>
        <w:rPr>
          <w:sz w:val="22"/>
          <w:szCs w:val="22"/>
        </w:rPr>
        <w:t xml:space="preserve">3 - Ejecutar el 100 porciento de las actuaciones de evaluación, control y seguimiento sobre los usuarios que realizan aprovechamiento y/o afectación al recurso hídrico subterráneo y superficial. </w:t>
      </w:r>
    </w:p>
    <w:p w:rsidR="00743DA6" w:rsidRDefault="00743DA6">
      <w:pPr>
        <w:pBdr>
          <w:top w:val="nil"/>
          <w:left w:val="nil"/>
          <w:bottom w:val="nil"/>
          <w:right w:val="nil"/>
          <w:between w:val="nil"/>
        </w:pBdr>
        <w:rPr>
          <w:sz w:val="22"/>
          <w:szCs w:val="22"/>
        </w:rPr>
      </w:pPr>
    </w:p>
    <w:p w:rsidR="00743DA6" w:rsidRDefault="00D95D19">
      <w:pPr>
        <w:pBdr>
          <w:top w:val="nil"/>
          <w:left w:val="nil"/>
          <w:bottom w:val="nil"/>
          <w:right w:val="nil"/>
          <w:between w:val="nil"/>
        </w:pBdr>
        <w:jc w:val="both"/>
        <w:rPr>
          <w:sz w:val="22"/>
          <w:szCs w:val="22"/>
        </w:rPr>
      </w:pPr>
      <w:r>
        <w:rPr>
          <w:sz w:val="22"/>
          <w:szCs w:val="22"/>
        </w:rPr>
        <w:t>Las tres actividades asociadas al recurso hídrico evidencian tensiones en la forma como se está priorizando la gestión ambiental. La Secretaría reduce de manera significativa los recursos destinados a la planificación hídrica, que pasan de $2.706 millones en 2025 a $318 millones en 2026, y también disminuye el presupuesto para el monitoreo periódico del recurso, que baja de $4.010 millones a $3.468 millones, afectando dos funciones esenciales para anticipar y gestionar riesgos de disponibilidad. Paralelamente, aumenta de forma considerable la actividad de evaluación, control y seguimiento a los usuarios que utilizan o afectan el agua, cuyo presupuesto sube de $2.391 millones a $3.290 millones. Con esta distribución, la autoridad ambiental refuerza su capacidad de fiscalización, mientras las funciones de planificación estratégica y vigilancia técnica, necesarias para comprender la oferta hídrica, proyectar escenarios climáticos y orientar decisiones de largo plazo, reciben menos recursos. Como resultado, se consolida un enfoque operativo principalmente centrado en control, sin una inversión proporcional en las capacidades que permiten asegurar la sostenibilidad del recurso hídrico en la ciudad.</w:t>
      </w:r>
    </w:p>
    <w:p w:rsidR="00743DA6" w:rsidRDefault="00743DA6">
      <w:pPr>
        <w:pBdr>
          <w:top w:val="nil"/>
          <w:left w:val="nil"/>
          <w:bottom w:val="nil"/>
          <w:right w:val="nil"/>
          <w:between w:val="nil"/>
        </w:pBdr>
        <w:rPr>
          <w:sz w:val="22"/>
          <w:szCs w:val="22"/>
        </w:rPr>
      </w:pPr>
    </w:p>
    <w:p w:rsidR="00743DA6" w:rsidRDefault="00D95D19">
      <w:pPr>
        <w:pBdr>
          <w:top w:val="nil"/>
          <w:left w:val="nil"/>
          <w:bottom w:val="nil"/>
          <w:right w:val="nil"/>
          <w:between w:val="nil"/>
        </w:pBdr>
        <w:rPr>
          <w:b/>
          <w:bCs/>
          <w:sz w:val="22"/>
          <w:szCs w:val="22"/>
        </w:rPr>
      </w:pPr>
      <w:r>
        <w:rPr>
          <w:b/>
          <w:bCs/>
          <w:sz w:val="22"/>
          <w:szCs w:val="22"/>
        </w:rPr>
        <w:t>Implementación de la ZUMA Bosa Apogeo y a la nueva ZUMA declarada</w:t>
      </w:r>
    </w:p>
    <w:p w:rsidR="00743DA6" w:rsidRDefault="00743DA6">
      <w:pPr>
        <w:pBdr>
          <w:top w:val="nil"/>
          <w:left w:val="nil"/>
          <w:bottom w:val="nil"/>
          <w:right w:val="nil"/>
          <w:between w:val="nil"/>
        </w:pBdr>
        <w:rPr>
          <w:sz w:val="22"/>
          <w:szCs w:val="22"/>
        </w:rPr>
      </w:pPr>
    </w:p>
    <w:p w:rsidR="00743DA6" w:rsidRDefault="00D95D19">
      <w:pPr>
        <w:pBdr>
          <w:top w:val="nil"/>
          <w:left w:val="nil"/>
          <w:bottom w:val="nil"/>
          <w:right w:val="nil"/>
          <w:between w:val="nil"/>
        </w:pBdr>
        <w:jc w:val="both"/>
        <w:rPr>
          <w:sz w:val="22"/>
          <w:szCs w:val="22"/>
        </w:rPr>
      </w:pPr>
      <w:r>
        <w:rPr>
          <w:sz w:val="22"/>
          <w:szCs w:val="22"/>
        </w:rPr>
        <w:t>1 - Realizar 7 Informe(s) de seguimiento a la implementación de la ZUMA BOSA APOGEO y a la declaratoria y seguimiento a la implementación de la nueva ZUMA declarada</w:t>
      </w:r>
    </w:p>
    <w:p w:rsidR="00743DA6" w:rsidRDefault="00743DA6">
      <w:pPr>
        <w:pBdr>
          <w:top w:val="nil"/>
          <w:left w:val="nil"/>
          <w:bottom w:val="nil"/>
          <w:right w:val="nil"/>
          <w:between w:val="nil"/>
        </w:pBdr>
        <w:jc w:val="both"/>
        <w:rPr>
          <w:sz w:val="22"/>
          <w:szCs w:val="22"/>
        </w:rPr>
      </w:pPr>
    </w:p>
    <w:p w:rsidR="00743DA6" w:rsidRDefault="00D95D19">
      <w:pPr>
        <w:pBdr>
          <w:top w:val="nil"/>
          <w:left w:val="nil"/>
          <w:bottom w:val="nil"/>
          <w:right w:val="nil"/>
          <w:between w:val="nil"/>
        </w:pBdr>
        <w:jc w:val="both"/>
        <w:rPr>
          <w:sz w:val="22"/>
          <w:szCs w:val="22"/>
        </w:rPr>
      </w:pPr>
      <w:r>
        <w:rPr>
          <w:sz w:val="22"/>
          <w:szCs w:val="22"/>
        </w:rPr>
        <w:t>La actividad destinada al seguimiento de la ZUMA Bosa–Apogeo y de la nueva ZUMA declarada presenta uno de los recortes más significativos del presupuesto ambiental. En 2025 se programaron $541 millones, de los cuales solo se comprometieron $66 millones y se giraron $53 millones, alcanzando una ejecución del 9,82 %. Para 2026, la asignación disminuye a $50 millones, es decir, una reducción superior al 90 %. Este ajuste limita la capacidad para realizar verificaciones en campo, emitir informes técnicos y evaluar condiciones territoriales, funciones previstas en el Decreto 492 de 2023, que define a las ZUMA como instrumentos prioritarios para mejorar la calidad del aire en zonas de mayor exposición. La combinación de baja ejecución en 2025 y recorte en 2026 reduce de manera significativa la operatividad del instrumento y restringe el seguimiento ambiental en áreas que enfrentan concentraciones críticas de material particulado.</w:t>
      </w:r>
    </w:p>
    <w:p w:rsidR="00743DA6" w:rsidRDefault="00743DA6">
      <w:pPr>
        <w:pBdr>
          <w:top w:val="nil"/>
          <w:left w:val="nil"/>
          <w:bottom w:val="nil"/>
          <w:right w:val="nil"/>
          <w:between w:val="nil"/>
        </w:pBdr>
        <w:rPr>
          <w:sz w:val="22"/>
          <w:szCs w:val="22"/>
        </w:rPr>
      </w:pPr>
    </w:p>
    <w:p w:rsidR="00743DA6" w:rsidRDefault="00D95D19">
      <w:pPr>
        <w:pBdr>
          <w:top w:val="nil"/>
          <w:left w:val="nil"/>
          <w:bottom w:val="nil"/>
          <w:right w:val="nil"/>
          <w:between w:val="nil"/>
        </w:pBdr>
        <w:rPr>
          <w:b/>
          <w:bCs/>
          <w:sz w:val="22"/>
          <w:szCs w:val="22"/>
        </w:rPr>
      </w:pPr>
      <w:r>
        <w:rPr>
          <w:b/>
          <w:bCs/>
          <w:sz w:val="22"/>
          <w:szCs w:val="22"/>
        </w:rPr>
        <w:t>Conectividad Ecológica, Cerros, ríos, quebradas y humedales</w:t>
      </w:r>
    </w:p>
    <w:p w:rsidR="00743DA6" w:rsidRDefault="00743DA6">
      <w:pPr>
        <w:pBdr>
          <w:top w:val="nil"/>
          <w:left w:val="nil"/>
          <w:bottom w:val="nil"/>
          <w:right w:val="nil"/>
          <w:between w:val="nil"/>
        </w:pBdr>
        <w:rPr>
          <w:b/>
          <w:bCs/>
          <w:sz w:val="22"/>
          <w:szCs w:val="22"/>
        </w:rPr>
      </w:pPr>
    </w:p>
    <w:p w:rsidR="00743DA6" w:rsidRDefault="00D95D19">
      <w:pPr>
        <w:pBdr>
          <w:top w:val="nil"/>
          <w:left w:val="nil"/>
          <w:bottom w:val="nil"/>
          <w:right w:val="nil"/>
          <w:between w:val="nil"/>
        </w:pBdr>
        <w:jc w:val="both"/>
        <w:rPr>
          <w:sz w:val="22"/>
          <w:szCs w:val="22"/>
        </w:rPr>
      </w:pPr>
      <w:r>
        <w:rPr>
          <w:sz w:val="22"/>
          <w:szCs w:val="22"/>
        </w:rPr>
        <w:t>4 - Intervenir 2500 Hectárea(s) de conectores ecosistémicos para aumentar la conectividad de los elementos de la Estructura Ecológica Principal.</w:t>
      </w:r>
    </w:p>
    <w:p w:rsidR="00743DA6" w:rsidRDefault="00743DA6">
      <w:pPr>
        <w:pBdr>
          <w:top w:val="nil"/>
          <w:left w:val="nil"/>
          <w:bottom w:val="nil"/>
          <w:right w:val="nil"/>
          <w:between w:val="nil"/>
        </w:pBdr>
        <w:rPr>
          <w:sz w:val="22"/>
          <w:szCs w:val="22"/>
        </w:rPr>
      </w:pPr>
    </w:p>
    <w:p w:rsidR="00743DA6" w:rsidRDefault="00D95D19">
      <w:pPr>
        <w:pBdr>
          <w:top w:val="nil"/>
          <w:left w:val="nil"/>
          <w:bottom w:val="nil"/>
          <w:right w:val="nil"/>
          <w:between w:val="nil"/>
        </w:pBdr>
        <w:jc w:val="both"/>
        <w:rPr>
          <w:sz w:val="22"/>
          <w:szCs w:val="22"/>
        </w:rPr>
      </w:pPr>
      <w:r>
        <w:rPr>
          <w:sz w:val="22"/>
          <w:szCs w:val="22"/>
        </w:rPr>
        <w:t>En relación con la meta de intervenir 2.500 hectáreas de conectores ecosistémicos, el presupuesto para 2026 disminuye en $261 millones, ajuste que se explica por el bajo nivel de ejecución alcanzado durante 2025, año en el que únicamente se giró el 28,7 % de los recursos programados ($1.279 millones de $4.461 millones). Tal reducción incide de manera directa en la operación de la Estructura Ecológica Principal, pues limita la intervención de corredores biológicos que vinculan los Cerros Orientales, el río Bogotá y los humedales. A ello se suma que la menor inversión restringe la capacidad institucional para sostener procesos de conectividad ecológica y, con ello, servicios esenciales como la regulación hídrica y la captura de carbono, aspectos determinantes para consolidar la resiliencia ambiental urbana en el mediano plazo.</w:t>
      </w:r>
    </w:p>
    <w:p w:rsidR="00743DA6" w:rsidRDefault="00743DA6">
      <w:pPr>
        <w:pBdr>
          <w:top w:val="nil"/>
          <w:left w:val="nil"/>
          <w:bottom w:val="nil"/>
          <w:right w:val="nil"/>
          <w:between w:val="nil"/>
        </w:pBdr>
        <w:rPr>
          <w:sz w:val="22"/>
          <w:szCs w:val="22"/>
        </w:rPr>
      </w:pPr>
    </w:p>
    <w:p w:rsidR="00743DA6" w:rsidRDefault="00D95D19">
      <w:pPr>
        <w:pBdr>
          <w:top w:val="nil"/>
          <w:left w:val="nil"/>
          <w:bottom w:val="nil"/>
          <w:right w:val="nil"/>
          <w:between w:val="nil"/>
        </w:pBdr>
        <w:rPr>
          <w:b/>
          <w:bCs/>
          <w:sz w:val="22"/>
          <w:szCs w:val="22"/>
        </w:rPr>
      </w:pPr>
      <w:r>
        <w:rPr>
          <w:b/>
          <w:bCs/>
          <w:sz w:val="22"/>
          <w:szCs w:val="22"/>
        </w:rPr>
        <w:t>Gestión del Ruido y Contaminación Auditiva</w:t>
      </w:r>
    </w:p>
    <w:p w:rsidR="00743DA6" w:rsidRDefault="00D95D19">
      <w:pPr>
        <w:spacing w:before="240" w:after="240"/>
        <w:jc w:val="both"/>
        <w:rPr>
          <w:sz w:val="22"/>
          <w:szCs w:val="22"/>
        </w:rPr>
      </w:pPr>
      <w:r>
        <w:rPr>
          <w:sz w:val="22"/>
          <w:szCs w:val="22"/>
        </w:rPr>
        <w:t>Las cuatro actividades vinculadas a la gestión del ruido experimentan reducciones presupuestales para 2026, pese a que durante 2025 registraron ejecuciones relativamente bajas, entre el 24 % y el 50 %. Estas disminuciones, que se sitúan entre $55 millones y $593 millones, recaen sobre funciones operativas centrales: visitas de control a establecimientos, operación de la red de monitoreo de ruido, análisis de laboratorio para matrices aire–ruido y seguimiento a emisiones sonoras en el perímetro urbano. Se trata de actividades que sostienen la capacidad de la ciudad para identificar fuentes ruidosas, documentar impactos en salud y responder a las quejas ciudadanas, además de producir información técnica que respalda decisiones de control y sanción.</w:t>
      </w:r>
    </w:p>
    <w:p w:rsidR="00743DA6" w:rsidRDefault="00D95D19">
      <w:pPr>
        <w:spacing w:before="240" w:after="240"/>
        <w:jc w:val="both"/>
        <w:rPr>
          <w:sz w:val="22"/>
          <w:szCs w:val="22"/>
        </w:rPr>
      </w:pPr>
      <w:r>
        <w:rPr>
          <w:sz w:val="22"/>
          <w:szCs w:val="22"/>
        </w:rPr>
        <w:t>Mientras estas líneas pierden recursos, la actividad orientada a la formulación e implementación del Plan de Calidad Acústica (actividad 11) recibe un aumento presupuestal para 2026, pasando de los $312 millones programados en 2025, de los cuales se giraron solo $26 millones, a $391 millones. Si bien este aumento podría interpretarse como un esfuerzo por fortalecer la fase de planificación, el análisis del conjunto muestra un desequilibrio: se asignan más recursos a la producción de informes, pero se reducen las capacidades técnicas que permiten ejecutar las medidas contempladas en el plan.</w:t>
      </w:r>
    </w:p>
    <w:p w:rsidR="00743DA6" w:rsidRDefault="00D95D19">
      <w:pPr>
        <w:spacing w:before="240" w:after="240"/>
        <w:jc w:val="both"/>
        <w:rPr>
          <w:sz w:val="22"/>
          <w:szCs w:val="22"/>
        </w:rPr>
      </w:pPr>
      <w:r>
        <w:rPr>
          <w:sz w:val="22"/>
          <w:szCs w:val="22"/>
        </w:rPr>
        <w:t>Como resultado, la estructura institucional se orienta hacia la elaboración de documentos, mientras disminuye su presencia territorial y su habilidad para medir, verificar y actuar sobre situaciones de ruido en zonas críticas de la ciudad. Esto amplía la distancia entre la planeación y la intervención concreta, pues la ciudad contaría con más insumos de formulación, pero con menor respaldo operativo para sostener la gestión del ruido y garantizar información confiable para la toma de decisiones.</w:t>
      </w:r>
    </w:p>
    <w:p w:rsidR="00743DA6" w:rsidRDefault="00D95D19">
      <w:pPr>
        <w:spacing w:before="240" w:after="240"/>
        <w:rPr>
          <w:b/>
          <w:bCs/>
          <w:sz w:val="22"/>
          <w:szCs w:val="22"/>
        </w:rPr>
      </w:pPr>
      <w:r>
        <w:rPr>
          <w:b/>
          <w:bCs/>
          <w:sz w:val="22"/>
          <w:szCs w:val="22"/>
        </w:rPr>
        <w:t xml:space="preserve">Ecourbanismo </w:t>
      </w:r>
    </w:p>
    <w:p w:rsidR="00743DA6" w:rsidRDefault="00D95D19">
      <w:pPr>
        <w:spacing w:before="240" w:after="240"/>
        <w:jc w:val="both"/>
        <w:rPr>
          <w:sz w:val="22"/>
          <w:szCs w:val="22"/>
        </w:rPr>
      </w:pPr>
      <w:r>
        <w:rPr>
          <w:sz w:val="22"/>
          <w:szCs w:val="22"/>
        </w:rPr>
        <w:t>En la actividad orientada a incorporar criterios de ecourbanismo y construcción sostenible en 650 proyectos, la asignación para 2026 se reduce en $35 millones, ajuste que ocurre luego de una ejecución limitada durante 2025, cuando solo se giró el 32,8 % de los recursos programados ($634 millones de $1.930 millones). Esta disminución adquiere relevancia si se considera que diversos territorios, como el corredor del Fucha, la Serranía del Zuque, el Ecobarrio El Regalo en Bosa y múltiples iniciativas comunitarias en San Cristóbal, Ciudad Bolívar, Suba, Engativá, Chapinero, Usme y Sumapaz, vienen impulsando procesos de renaturalización y adaptación urbana que requieren soporte institucional para mantener continuidad y coherencia técnica.</w:t>
      </w:r>
    </w:p>
    <w:p w:rsidR="00743DA6" w:rsidRDefault="00D95D19">
      <w:pPr>
        <w:spacing w:before="240" w:after="240"/>
        <w:jc w:val="both"/>
        <w:rPr>
          <w:sz w:val="22"/>
          <w:szCs w:val="22"/>
        </w:rPr>
      </w:pPr>
      <w:r>
        <w:rPr>
          <w:sz w:val="22"/>
          <w:szCs w:val="22"/>
        </w:rPr>
        <w:t>En cuanto a las actividades vinculadas a participación comunitaria y educación ambiental, los recortes afectan varias líneas que sostienen la relación de la entidad con los territorios: 1.182 procesos de gestión de conflictos ambientales, 850 procesos con organizaciones y comunidad en las 20 localidades, 4 informes asociados al modelo de servicio al ciudadano, y la vinculación de 1.600.000 personas a estrategias educativas y 40.000 personas a acciones de comunicación. La disminución de recursos en estas metas no solo limita la capacidad operativa, sino que también altera la profundidad de los procesos, dado que la reducción presupuestal obliga a privilegiar registros cuantitativos sobre intervenciones prolongadas y situadas.</w:t>
      </w:r>
    </w:p>
    <w:p w:rsidR="00743DA6" w:rsidRDefault="00D95D19">
      <w:pPr>
        <w:spacing w:before="240" w:after="240"/>
        <w:jc w:val="both"/>
        <w:rPr>
          <w:sz w:val="22"/>
          <w:szCs w:val="22"/>
        </w:rPr>
      </w:pPr>
      <w:r>
        <w:rPr>
          <w:sz w:val="22"/>
          <w:szCs w:val="22"/>
        </w:rPr>
        <w:t>De esta manera, la Secretaría enfrenta un escenario en el que sus instrumentos de trabajo territorial pierden continuidad, mientras aumentan las demandas comunitarias por acompañamiento técnico, mediación y acciones pedagógicas. Al reducirse los recursos destinados a estas funciones, se restringe la posibilidad de sostener procesos colectivos de cuidado ambiental, de anticipar riesgos en zonas con alta presión socioecológica y de mantener espacios de corresponsabilidad ciudadana que respaldan la protección de la Estructura Ecológica Principal. El resultado es un debilitamiento de las capacidades institucionales para operar en terreno, justo cuando los territorios avanzan en prácticas de ecourbanismo que requieren respaldo público estable.</w:t>
      </w:r>
    </w:p>
    <w:p w:rsidR="00743DA6" w:rsidRDefault="00D95D19">
      <w:pPr>
        <w:spacing w:before="240" w:after="240"/>
        <w:rPr>
          <w:b/>
          <w:bCs/>
          <w:sz w:val="22"/>
          <w:szCs w:val="22"/>
        </w:rPr>
      </w:pPr>
      <w:r>
        <w:rPr>
          <w:b/>
          <w:bCs/>
          <w:sz w:val="22"/>
          <w:szCs w:val="22"/>
        </w:rPr>
        <w:t>Análisis Aumentos Presupuestales</w:t>
      </w:r>
    </w:p>
    <w:p w:rsidR="00743DA6" w:rsidRDefault="00D95D19">
      <w:pPr>
        <w:spacing w:before="240" w:after="240"/>
        <w:jc w:val="center"/>
        <w:rPr>
          <w:b/>
          <w:bCs/>
          <w:sz w:val="22"/>
          <w:szCs w:val="22"/>
        </w:rPr>
      </w:pPr>
      <w:r>
        <w:rPr>
          <w:b/>
          <w:bCs/>
          <w:sz w:val="22"/>
          <w:szCs w:val="22"/>
        </w:rPr>
        <w:t>Tabla No. 18. Actividades que presentan aumentos presupuestales 2025 - 2026 SDA</w:t>
      </w:r>
    </w:p>
    <w:tbl>
      <w:tblPr>
        <w:tblStyle w:val="afffffe"/>
        <w:tblW w:w="9075" w:type="dxa"/>
        <w:tblBorders>
          <w:top w:val="nil"/>
          <w:left w:val="nil"/>
          <w:bottom w:val="nil"/>
          <w:right w:val="nil"/>
          <w:insideH w:val="nil"/>
          <w:insideV w:val="nil"/>
        </w:tblBorders>
        <w:tblLayout w:type="fixed"/>
        <w:tblLook w:val="0600" w:firstRow="0" w:lastRow="0" w:firstColumn="0" w:lastColumn="0" w:noHBand="1" w:noVBand="1"/>
      </w:tblPr>
      <w:tblGrid>
        <w:gridCol w:w="3450"/>
        <w:gridCol w:w="1035"/>
        <w:gridCol w:w="1080"/>
        <w:gridCol w:w="1125"/>
        <w:gridCol w:w="1170"/>
        <w:gridCol w:w="1215"/>
      </w:tblGrid>
      <w:tr w:rsidR="00743DA6">
        <w:trPr>
          <w:trHeight w:val="780"/>
        </w:trPr>
        <w:tc>
          <w:tcPr>
            <w:tcW w:w="3450" w:type="dxa"/>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ACTIVIDAD</w:t>
            </w:r>
          </w:p>
        </w:tc>
        <w:tc>
          <w:tcPr>
            <w:tcW w:w="103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2026</w:t>
            </w:r>
          </w:p>
        </w:tc>
        <w:tc>
          <w:tcPr>
            <w:tcW w:w="108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CONTRATADO 2025</w:t>
            </w:r>
          </w:p>
        </w:tc>
        <w:tc>
          <w:tcPr>
            <w:tcW w:w="112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GIROS 2025</w:t>
            </w:r>
          </w:p>
        </w:tc>
        <w:tc>
          <w:tcPr>
            <w:tcW w:w="117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2026</w:t>
            </w:r>
          </w:p>
        </w:tc>
        <w:tc>
          <w:tcPr>
            <w:tcW w:w="121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DIFERENCIA 2025 - 2026</w:t>
            </w:r>
          </w:p>
        </w:tc>
      </w:tr>
      <w:tr w:rsidR="00743DA6">
        <w:trPr>
          <w:trHeight w:val="127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2 - Realizar el Seguimiento a 14 Instrumento(s) de planeación ambiental priorizados</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$ 1,618</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$ 1,553</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$ 856</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$ 1,710</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$ 92</w:t>
            </w:r>
          </w:p>
        </w:tc>
      </w:tr>
      <w:tr w:rsidR="00743DA6">
        <w:trPr>
          <w:trHeight w:val="154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6 - Realizar 100 Porciento el acompañamiento, gestión, monitoreo y seguimiento al cumplimiento de las políticas de desempeño institucional del MIPG</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$ 489</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$ 374</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$ 231</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$ 1,016</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$ 527</w:t>
            </w:r>
          </w:p>
        </w:tc>
      </w:tr>
      <w:tr w:rsidR="00743DA6">
        <w:trPr>
          <w:trHeight w:val="79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5 - Implementar 2000 Hectárea(s) de acuerdos de conservación en áreas de la Estructura Ecológica Principal y otras de importancia ecosistémica de Bogotá Región</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$ 8,668</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$ 4,483</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$ 1,621</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$ 8,868</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$ 200</w:t>
            </w:r>
          </w:p>
        </w:tc>
      </w:tr>
      <w:tr w:rsidR="00743DA6">
        <w:trPr>
          <w:trHeight w:val="1290"/>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7 - Fortalecer 100 Porciento de las capacidades de los habitantes de la Estructura Ecológica Principal de Bogotá Región en temas relacionados con la conservación ambiental.</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$ 130</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$ 128</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$ 70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$ 174</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$ 45</w:t>
            </w:r>
          </w:p>
        </w:tc>
      </w:tr>
      <w:tr w:rsidR="00743DA6">
        <w:trPr>
          <w:trHeight w:val="157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2 - Restaurar, rehabilitar o recuperar 100 Hectárea(s) nuevas alteradas dentro de la estructura ecológica principal y áreas de importancia ecosistémicas.</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$ 3,024</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$ 587</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$ 335</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$ 3,257</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$ 233</w:t>
            </w:r>
          </w:p>
        </w:tc>
      </w:tr>
      <w:tr w:rsidR="00743DA6">
        <w:trPr>
          <w:trHeight w:val="1320"/>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3 - Generar procesos sostenibles a 600 Hectárea(s) de restauración ecológica en la estructura ecológica principal y áreas de interés ambiental.</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$ 21,534</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$ 993</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$ 572</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$ 22,950</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$ 1,417</w:t>
            </w:r>
          </w:p>
        </w:tc>
      </w:tr>
      <w:tr w:rsidR="00743DA6">
        <w:trPr>
          <w:trHeight w:val="1290"/>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2 - Ejecutar el 100 Porciento de las actuaciones de control sobre las concentraciones límites máximas establecidas en los vertimientos a la red de alcantarillado público de la ciudad</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$ 1,938</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$ 1,651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$ 976</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$ 8,889</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$ 6,951</w:t>
            </w:r>
          </w:p>
        </w:tc>
      </w:tr>
      <w:tr w:rsidR="00743DA6">
        <w:trPr>
          <w:trHeight w:val="109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3 - Ejecutar el 100 Porciento de las actuaciones de evaluación, control y seguimiento sobre los usuarios que realizan aprovechamiento y/o afectación al recurso hídrico subterráneo y superficial</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$ 2,391</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$ 2,237</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$ 1,348</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$ 3,290</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$ 899</w:t>
            </w:r>
          </w:p>
        </w:tc>
      </w:tr>
      <w:tr w:rsidR="00743DA6">
        <w:trPr>
          <w:trHeight w:val="61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6 - Ejecutar el 100 Porciento de las actuaciones de evaluación y el seguimiento a los permisos de ocupación de cauce.</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$ 991</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$ 986</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$ 530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$ 1,233</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$ 241</w:t>
            </w:r>
          </w:p>
        </w:tc>
      </w:tr>
      <w:tr w:rsidR="00743DA6">
        <w:trPr>
          <w:trHeight w:val="139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11 - Realizar 49412 Actuación(es) de evaluación, control, seguimiento y prevención ejecutadas sobre los recursos flora y fauna silvestre en Bogotá D.C.</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$ 2,208</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$ 2,191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$ 1,041</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$ 2,709</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$ 500</w:t>
            </w:r>
          </w:p>
        </w:tc>
      </w:tr>
      <w:tr w:rsidR="00743DA6">
        <w:trPr>
          <w:trHeight w:val="630"/>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13 - Atender 24800 Animales silvestres vivos recuperados por la autoridad ambiental</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$ 5,438</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$ 4,703</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$ 2,721</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$ 6,515</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$ 1,077</w:t>
            </w:r>
          </w:p>
        </w:tc>
      </w:tr>
      <w:tr w:rsidR="00743DA6">
        <w:trPr>
          <w:trHeight w:val="977"/>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9 - Realizar el 100 Porciento de las actuaciones de evaluación, control y seguimiento ambiental a predios afectados por actividad extractiva de minerales en el perímetro urbano del DC</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$ 701</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$ 524</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$ 288</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$ 779</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$ 78</w:t>
            </w:r>
          </w:p>
        </w:tc>
      </w:tr>
      <w:tr w:rsidR="00743DA6">
        <w:trPr>
          <w:trHeight w:val="67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8 - Realizar 7 Informe(s) sobre las acciones de evaluación, control y seguimiento a las Fuentes Fijas realizadas en el perímetro Urbano de Bogotá</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$ 783</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$ 714</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$ 419</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$ 863</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$ 80</w:t>
            </w:r>
          </w:p>
        </w:tc>
      </w:tr>
      <w:tr w:rsidR="00743DA6">
        <w:trPr>
          <w:trHeight w:val="109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11 - Realizar 7 Informe(s) sobre formulación e implementación Plan de Calidad Acústica</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$ 312</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$ 90</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$ 26</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$ 391</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$ 79</w:t>
            </w:r>
          </w:p>
        </w:tc>
      </w:tr>
      <w:tr w:rsidR="00743DA6">
        <w:trPr>
          <w:trHeight w:val="1050"/>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3 - Fortalecer 100 Porciento la estrategia, el gobierno y aprovechamiento de las TI en la entidad</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$ 661</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$ 590</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$ 408</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$ 667</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$ 6</w:t>
            </w:r>
          </w:p>
        </w:tc>
      </w:tr>
      <w:tr w:rsidR="00743DA6">
        <w:trPr>
          <w:trHeight w:val="1080"/>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2 - Realizar seguimiento 100 Porciento de los proyectos de actos administrativos de carácter ambiental incluidos en la Agenda Regulatoria</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$ 224</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$ 224</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$ 143</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$ 224</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$ 0</w:t>
            </w:r>
          </w:p>
        </w:tc>
      </w:tr>
      <w:tr w:rsidR="00743DA6">
        <w:trPr>
          <w:trHeight w:val="76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3 - Emitir 100 Porciento de los conceptos jurídicos y asesorías en materia legal ambiental</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$ 264</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$ 264</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$ 173</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$ 329</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$ 66</w:t>
            </w:r>
          </w:p>
        </w:tc>
      </w:tr>
      <w:tr w:rsidR="00743DA6">
        <w:trPr>
          <w:trHeight w:val="79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5 - Implementar 2 Política(s) relacionadas con Prevención del Daño Antijurídico y de Defensa Judicial</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$ 461</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$ 452</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$ 289</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$ 471</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$ 10</w:t>
            </w:r>
          </w:p>
        </w:tc>
      </w:tr>
      <w:tr w:rsidR="00743DA6">
        <w:trPr>
          <w:trHeight w:val="1110"/>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7 - Atender el 100 Porciento de los fallos policivos de segunda instancia de competencia de la SDA.</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$ 131</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$ 130</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$ 82</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$ 172</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$ 41</w:t>
            </w:r>
          </w:p>
        </w:tc>
      </w:tr>
      <w:tr w:rsidR="00743DA6">
        <w:trPr>
          <w:trHeight w:val="720"/>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2 - Contar con el 100 Porciento de los recursos tecnológicos priorizados para la gestión administrativa de la SDA</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$ 59</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$ 39</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$ 13</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$ 200</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$ 141</w:t>
            </w:r>
          </w:p>
        </w:tc>
      </w:tr>
      <w:tr w:rsidR="00743DA6">
        <w:trPr>
          <w:trHeight w:val="930"/>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4 - Ejecutar el 100 Porciento de las actividades para implementación del Sistema de Gestión Documental</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$ 1,831</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$ 537</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$ 302</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$ 2,278</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$ 446</w:t>
            </w:r>
          </w:p>
        </w:tc>
      </w:tr>
      <w:tr w:rsidR="00743DA6">
        <w:trPr>
          <w:trHeight w:val="1185"/>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8 - Realizar el 100 Porciento de las actividades de mantenimiento programadas a la infraestructura física priorizada del sector ambiente</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$ 887</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$ 271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$ 59</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$ 1,094</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$ 207</w:t>
            </w:r>
          </w:p>
        </w:tc>
      </w:tr>
      <w:tr w:rsidR="00743DA6">
        <w:trPr>
          <w:trHeight w:val="660"/>
        </w:trPr>
        <w:tc>
          <w:tcPr>
            <w:tcW w:w="34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rPr>
                <w:rFonts w:ascii="Arial" w:eastAsia="Arial" w:hAnsi="Arial" w:cs="Arial"/>
                <w:sz w:val="18"/>
                <w:szCs w:val="18"/>
              </w:rPr>
            </w:pPr>
            <w:r>
              <w:rPr>
                <w:rFonts w:ascii="Arial" w:eastAsia="Arial" w:hAnsi="Arial" w:cs="Arial"/>
                <w:sz w:val="18"/>
                <w:szCs w:val="18"/>
              </w:rPr>
              <w:t>9 - Ejecutar el 100 Porciento de las obras y adecuaciones requeridas para la culminación de infraestructuras especializadas de la entidad y sector.</w:t>
            </w:r>
          </w:p>
        </w:tc>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$ 0</w:t>
            </w:r>
          </w:p>
        </w:tc>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$ 0</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$ 0</w:t>
            </w:r>
          </w:p>
        </w:tc>
        <w:tc>
          <w:tcPr>
            <w:tcW w:w="11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$ 15,500</w:t>
            </w:r>
          </w:p>
        </w:tc>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jc w:val="right"/>
              <w:rPr>
                <w:rFonts w:ascii="Arial" w:eastAsia="Arial" w:hAnsi="Arial" w:cs="Arial"/>
                <w:sz w:val="18"/>
                <w:szCs w:val="18"/>
              </w:rPr>
            </w:pPr>
            <w:r>
              <w:rPr>
                <w:rFonts w:ascii="Arial" w:eastAsia="Arial" w:hAnsi="Arial" w:cs="Arial"/>
                <w:sz w:val="18"/>
                <w:szCs w:val="18"/>
              </w:rPr>
              <w:t>$ 15,500</w:t>
            </w:r>
          </w:p>
        </w:tc>
      </w:tr>
    </w:tbl>
    <w:p w:rsidR="00743DA6" w:rsidRDefault="00D95D19">
      <w:pPr>
        <w:spacing w:before="240" w:after="240" w:line="276" w:lineRule="auto"/>
        <w:jc w:val="center"/>
        <w:rPr>
          <w:b/>
          <w:bCs/>
          <w:sz w:val="22"/>
          <w:szCs w:val="22"/>
        </w:rPr>
      </w:pPr>
      <w:r>
        <w:rPr>
          <w:b/>
          <w:bCs/>
          <w:sz w:val="18"/>
          <w:szCs w:val="18"/>
        </w:rPr>
        <w:t>Fuente:</w:t>
      </w:r>
      <w:r>
        <w:rPr>
          <w:sz w:val="18"/>
          <w:szCs w:val="18"/>
        </w:rPr>
        <w:t xml:space="preserve"> Elaboración propia (2025) con base a información suministrada por la Secretaría Distrital de Hacienda.  </w:t>
      </w:r>
    </w:p>
    <w:p w:rsidR="00743DA6" w:rsidRDefault="00D95D19">
      <w:pPr>
        <w:spacing w:before="240" w:after="240"/>
        <w:rPr>
          <w:sz w:val="22"/>
          <w:szCs w:val="22"/>
        </w:rPr>
      </w:pPr>
      <w:r>
        <w:rPr>
          <w:sz w:val="22"/>
          <w:szCs w:val="22"/>
        </w:rPr>
        <w:t>A continuación se presenta el análisis de las actividades que perciben mayor aumento presupuestal en la SDA:</w:t>
      </w:r>
    </w:p>
    <w:p w:rsidR="00743DA6" w:rsidRDefault="00D95D19">
      <w:pPr>
        <w:spacing w:before="240" w:after="240"/>
        <w:jc w:val="both"/>
        <w:rPr>
          <w:sz w:val="22"/>
          <w:szCs w:val="22"/>
        </w:rPr>
      </w:pPr>
      <w:r>
        <w:rPr>
          <w:sz w:val="22"/>
          <w:szCs w:val="22"/>
        </w:rPr>
        <w:t>En el caso de la actividad destinada a culminar infraestructuras especializadas de la entidad, aparece para 2026 una apropiación inédita de $15.500 millones, sin antecedentes de asignación ni ejecución en 2025. Aunque este monto podría asociarse a proyectos como la Casa Ecológica de los Animales, la inclusión de un rubro de tal magnitud plantea interrogantes fiscales relevantes. Un examen del presupuesto muestra que este incremento se sostiene gracias a una redistribución interna que reduce recursos en líneas misionales esenciales, de modo que la viabilidad de la inversión en infraestructura se produce a costa de recortes en monitoreo, control ambiental y participación comunitaria. Esto introduce un desbalance estructural, pues se privilegia la inversión en activos físicos mientras se restringen las capacidades técnicas que permiten operar y sostener la gestión ambiental cotidiana.</w:t>
      </w:r>
    </w:p>
    <w:p w:rsidR="00743DA6" w:rsidRDefault="00D95D19">
      <w:pPr>
        <w:spacing w:before="240" w:after="240"/>
        <w:jc w:val="both"/>
        <w:rPr>
          <w:sz w:val="22"/>
          <w:szCs w:val="22"/>
        </w:rPr>
      </w:pPr>
      <w:r>
        <w:rPr>
          <w:sz w:val="22"/>
          <w:szCs w:val="22"/>
        </w:rPr>
        <w:t>Una situación distinta, aunque igualmente crítica desde la perspectiva presupuestal, surge con la actividad orientada al control de vertimientos. Su presupuesto pasa de $1.938 millones en 2025 a $8.889 millones en 2026, un aumento cercano al 358 %, sin que los documentos oficiales de la Administración presenten una justificación metodológica o técnica que explique un salto de tal magnitud. Las funciones de esta actividad, visitas, toma de muestras, análisis, seguimiento y trámites sancionatorios, no incorporan obras civiles ni transformaciones de laboratorio que ameriten un crecimiento exponencial del gasto. Adicionalmente, en 2025 la ejecución alcanzó $976 millones, apenas la mitad de los recursos programados, lo que evidencia que la entidad no agotó la capacidad operativa disponible bajo el presupuesto anterior. Este comportamiento, sumado a los recortes simultáneos en planificación hídrica, monitoreo del agua, calidad del aire, ruido y participación ambiental, abre la posibilidad de que el rubro concentre costos heterogéneos o se utilice como un contenedor presupuestal sin aumento proporcional de metas físicas, ni trazabilidad detallada que permita verificar su pertinencia. Bajo esta configuración, el incremento no fortalece de manera integral la gestión del agua, sino que profundiza un desequilibrio entre funciones de control y procesos técnicos que las sustentan, como modelación, seguimiento y gobernanza del recurso.</w:t>
      </w:r>
    </w:p>
    <w:p w:rsidR="00743DA6" w:rsidRDefault="00D95D19">
      <w:pPr>
        <w:spacing w:before="240" w:after="240"/>
        <w:jc w:val="both"/>
        <w:rPr>
          <w:sz w:val="22"/>
          <w:szCs w:val="22"/>
        </w:rPr>
      </w:pPr>
      <w:r>
        <w:rPr>
          <w:sz w:val="22"/>
          <w:szCs w:val="22"/>
        </w:rPr>
        <w:t>Al observar el conjunto del presupuesto, se evidencia que la Secretaría Distrital de Ambiente presenta uno de los niveles de ejecución más bajos en el Distrito, pero aún así solicita ampliaciones en varias actividades y recortes en 52 de las 72 líneas misionales que administra. Esto ocurre incluso en ámbitos esenciales para su mandato legal, gestión del agua, conectividad ecológica, riesgo y cambio climático, calidad del aire, gestión acústica y participación territorial, donde las ejecuciones de 2025 estuvieron por debajo del 30 % en distintos frentes. Mientras tanto, actividades administrativas como gestión documental y recursos tecnológicos, con ejecuciones entre 16 % y 22 %, reciben solicitudes de incremento por varios cientos de millones; y otras actividades misionales con bajo desempeño, como acuerdos de conservación (18,7 % de ejecución), mantienen o aumentan sus asignaciones. Este contraste sugiere una disociación entre la capacidad real de ejecución y la magnitud de los recursos proyectados para 2026, lo que evidencia riesgos de sobredimensionamiento presupuestal y un déficit de rigor en la formulación.</w:t>
      </w:r>
    </w:p>
    <w:p w:rsidR="00743DA6" w:rsidRDefault="00D95D19">
      <w:pPr>
        <w:spacing w:before="240" w:after="240"/>
        <w:jc w:val="both"/>
        <w:rPr>
          <w:b/>
          <w:bCs/>
          <w:sz w:val="22"/>
          <w:szCs w:val="22"/>
        </w:rPr>
      </w:pPr>
      <w:r>
        <w:rPr>
          <w:b/>
          <w:bCs/>
          <w:sz w:val="22"/>
          <w:szCs w:val="22"/>
        </w:rPr>
        <w:t>Petición de aumentos presupuestales:</w:t>
      </w:r>
    </w:p>
    <w:p w:rsidR="00743DA6" w:rsidRDefault="00D95D19">
      <w:pPr>
        <w:pStyle w:val="Ttulo3"/>
        <w:keepNext w:val="0"/>
        <w:keepLines w:val="0"/>
        <w:spacing w:before="280" w:after="80"/>
        <w:jc w:val="both"/>
        <w:rPr>
          <w:rFonts w:ascii="Arial" w:eastAsia="Arial" w:hAnsi="Arial" w:cs="Arial"/>
          <w:color w:val="000000"/>
          <w:sz w:val="22"/>
          <w:szCs w:val="22"/>
        </w:rPr>
      </w:pPr>
      <w:bookmarkStart w:id="1" w:name="_heading=h.lima0ezff3xp" w:colFirst="0" w:colLast="0"/>
      <w:bookmarkEnd w:id="1"/>
      <w:r>
        <w:rPr>
          <w:rFonts w:ascii="Arial" w:eastAsia="Arial" w:hAnsi="Arial" w:cs="Arial"/>
          <w:color w:val="000000"/>
          <w:sz w:val="22"/>
          <w:szCs w:val="22"/>
        </w:rPr>
        <w:t xml:space="preserve">1. Petición de Incremento en las actividades de participación </w:t>
      </w:r>
    </w:p>
    <w:p w:rsidR="00743DA6" w:rsidRDefault="00D95D19">
      <w:pPr>
        <w:spacing w:before="240" w:after="240"/>
        <w:jc w:val="both"/>
        <w:rPr>
          <w:sz w:val="22"/>
          <w:szCs w:val="22"/>
        </w:rPr>
      </w:pPr>
      <w:r>
        <w:rPr>
          <w:sz w:val="22"/>
          <w:szCs w:val="22"/>
        </w:rPr>
        <w:t>La propuesta de ajuste presupuestal para el componente de participación ciudadana busca corregir la reducción de recursos que ha limitado la intervención institucional en las 20 localidades. Se plantea un incremento neto de $1.200 millones, distribuido de manera que permita fortalecer la presencia territorial y avanzar en la modernización del servicio. La disminución previa en este rubro afecta directamente la gestión de conflictos ambientales y la atención del riesgo, funciones que dependen de trabajo de campo y relacionamiento continuo con comunidades. Sin una asignación suficiente, la meta de 850 procesos quedaría sin viabilidad operativa y la actualización del modelo de servicio al ciudadano no alcanzaría a consolidarse, lo que reduciría la capacidad institucional para responder de forma oportuna y articulada a las demandas de la ciudadanía.</w:t>
      </w:r>
    </w:p>
    <w:p w:rsidR="00743DA6" w:rsidRDefault="00D95D19">
      <w:pPr>
        <w:spacing w:before="240" w:after="240"/>
        <w:jc w:val="both"/>
        <w:rPr>
          <w:sz w:val="22"/>
          <w:szCs w:val="22"/>
        </w:rPr>
      </w:pPr>
      <w:r>
        <w:rPr>
          <w:sz w:val="22"/>
          <w:szCs w:val="22"/>
        </w:rPr>
        <w:t>Destinación de la Adición: La inyección de capital debe dirigirse al fortalecimiento de las capacidades locales y la atención al usuario. Específicamente, se solicita asignar:</w:t>
      </w:r>
    </w:p>
    <w:p w:rsidR="00743DA6" w:rsidRDefault="00D95D19">
      <w:pPr>
        <w:numPr>
          <w:ilvl w:val="0"/>
          <w:numId w:val="25"/>
        </w:numPr>
        <w:spacing w:after="240"/>
        <w:jc w:val="both"/>
        <w:rPr>
          <w:sz w:val="22"/>
          <w:szCs w:val="22"/>
        </w:rPr>
      </w:pPr>
      <w:r>
        <w:rPr>
          <w:sz w:val="22"/>
          <w:szCs w:val="22"/>
        </w:rPr>
        <w:t>Se propone asignar $1.000 millones a la actividad “3 – Realizar 850 procesos de participación ciudadana con organizaciones ambientales y comunidad en general en las 20 localidades”. Este refuerzo permite transitar de encuentros meramente informativos hacia procesos de construcción de soluciones en torno a conflictos socioambientales, dotando a los equipos territoriales de la logística necesaria para operar de manera continua y organizada.</w:t>
      </w:r>
    </w:p>
    <w:p w:rsidR="00743DA6" w:rsidRDefault="00D95D19">
      <w:pPr>
        <w:numPr>
          <w:ilvl w:val="0"/>
          <w:numId w:val="25"/>
        </w:numPr>
        <w:spacing w:after="240"/>
        <w:jc w:val="both"/>
        <w:rPr>
          <w:sz w:val="22"/>
          <w:szCs w:val="22"/>
        </w:rPr>
      </w:pPr>
      <w:r>
        <w:rPr>
          <w:sz w:val="22"/>
          <w:szCs w:val="22"/>
        </w:rPr>
        <w:t>Adicionalmente, se plantea destinar $200 millones a la actividad “4 – Desarrollar 4 informes del proceso de implementación de la actualización del modelo de servicio al ciudadano”. Este ajuste asegura que la modernización institucional incorpore componentes tecnológicos y pedagógicos que faciliten la orientación, formación y acompañamiento a la ciudadanía en trámites y reportes ambientales.</w:t>
      </w:r>
    </w:p>
    <w:p w:rsidR="00743DA6" w:rsidRDefault="00D95D19">
      <w:pPr>
        <w:spacing w:before="240" w:after="240"/>
        <w:jc w:val="both"/>
        <w:rPr>
          <w:sz w:val="22"/>
          <w:szCs w:val="22"/>
        </w:rPr>
      </w:pPr>
      <w:r>
        <w:rPr>
          <w:sz w:val="22"/>
          <w:szCs w:val="22"/>
        </w:rPr>
        <w:t>Con este aumento, se asegura que la mitigación de situaciones conflictivas tenga un respaldo financiero real, evitando cuellos de botella en la gestión social del riesgo.</w:t>
      </w:r>
    </w:p>
    <w:p w:rsidR="00743DA6" w:rsidRDefault="00D95D19">
      <w:pPr>
        <w:pStyle w:val="Ttulo3"/>
        <w:keepNext w:val="0"/>
        <w:keepLines w:val="0"/>
        <w:spacing w:before="280" w:after="80"/>
        <w:jc w:val="both"/>
        <w:rPr>
          <w:rFonts w:ascii="Arial" w:eastAsia="Arial" w:hAnsi="Arial" w:cs="Arial"/>
          <w:color w:val="000000"/>
          <w:sz w:val="22"/>
          <w:szCs w:val="22"/>
        </w:rPr>
      </w:pPr>
      <w:bookmarkStart w:id="2" w:name="_heading=h.bkuasluhxaod" w:colFirst="0" w:colLast="0"/>
      <w:bookmarkEnd w:id="2"/>
      <w:r>
        <w:rPr>
          <w:rFonts w:ascii="Arial" w:eastAsia="Arial" w:hAnsi="Arial" w:cs="Arial"/>
          <w:color w:val="000000"/>
          <w:sz w:val="22"/>
          <w:szCs w:val="22"/>
        </w:rPr>
        <w:t>2. Petición de Incremento: Educación y Comunicación Masiva</w:t>
      </w:r>
    </w:p>
    <w:p w:rsidR="00743DA6" w:rsidRDefault="00D95D19">
      <w:pPr>
        <w:spacing w:before="240" w:after="240"/>
        <w:jc w:val="both"/>
        <w:rPr>
          <w:sz w:val="22"/>
          <w:szCs w:val="22"/>
        </w:rPr>
      </w:pPr>
      <w:r>
        <w:rPr>
          <w:sz w:val="22"/>
          <w:szCs w:val="22"/>
        </w:rPr>
        <w:t>Enfoque: Cambio cultural y alcance masivo.</w:t>
      </w:r>
    </w:p>
    <w:p w:rsidR="00743DA6" w:rsidRDefault="00D95D19">
      <w:pPr>
        <w:spacing w:before="240" w:after="240"/>
        <w:jc w:val="both"/>
        <w:rPr>
          <w:sz w:val="22"/>
          <w:szCs w:val="22"/>
        </w:rPr>
      </w:pPr>
      <w:r>
        <w:rPr>
          <w:sz w:val="22"/>
          <w:szCs w:val="22"/>
        </w:rPr>
        <w:t>Justificación de la Necesidad: Para la vigencia 2026, resulta necesario corregir el déficit presupuestal asociado a las estrategias de cambio cultural y educación ambiental. Se plantea una adición de $900 millones, con el fin de evitar que las metas de cobertura se limiten a registros cuantitativos sin efectos formativos. La reducción vigente compromete la calidad de los procesos pedagógicos y restringe el alcance de las campañas de comunicación, aspectos que requieren recursos específicos para materiales, medios de difusión y equipos territoriales. Dado que las metas proyectadas superan los 2 millones de personas, el refuerzo solicitado es fundamental para garantizar que las acciones educativas y comunicativas acompañen de manera efectiva las inversiones en infraestructura ecológica y control ambiental, asegurando su sostenibilidad a largo plazo.</w:t>
      </w:r>
    </w:p>
    <w:p w:rsidR="00743DA6" w:rsidRDefault="00D95D19">
      <w:pPr>
        <w:spacing w:before="240" w:after="240"/>
        <w:rPr>
          <w:b/>
          <w:bCs/>
          <w:sz w:val="22"/>
          <w:szCs w:val="22"/>
        </w:rPr>
      </w:pPr>
      <w:r>
        <w:rPr>
          <w:b/>
          <w:bCs/>
          <w:sz w:val="22"/>
          <w:szCs w:val="22"/>
        </w:rPr>
        <w:t>Distribución propuesta:</w:t>
      </w:r>
    </w:p>
    <w:p w:rsidR="00743DA6" w:rsidRDefault="00D95D19">
      <w:pPr>
        <w:numPr>
          <w:ilvl w:val="0"/>
          <w:numId w:val="2"/>
        </w:numPr>
        <w:spacing w:before="240"/>
        <w:jc w:val="both"/>
        <w:rPr>
          <w:sz w:val="22"/>
          <w:szCs w:val="22"/>
        </w:rPr>
      </w:pPr>
      <w:r>
        <w:rPr>
          <w:sz w:val="22"/>
          <w:szCs w:val="22"/>
        </w:rPr>
        <w:t>$400 millones para la actividad “1 – Vincular a 1.600.000 personas en estrategias de educación ambiental”. Esta asignación permite fortalecer la calidad del material pedagógico y aumentar la frecuencia de las intervenciones en colegios y barrios, de modo que la participación ciudadana se traduzca en procesos de aprendizaje y no únicamente en registros administrativos.</w:t>
      </w:r>
    </w:p>
    <w:p w:rsidR="00743DA6" w:rsidRDefault="00D95D19">
      <w:pPr>
        <w:numPr>
          <w:ilvl w:val="0"/>
          <w:numId w:val="2"/>
        </w:numPr>
        <w:spacing w:after="240"/>
        <w:jc w:val="both"/>
        <w:rPr>
          <w:sz w:val="22"/>
          <w:szCs w:val="22"/>
        </w:rPr>
      </w:pPr>
      <w:r>
        <w:rPr>
          <w:sz w:val="22"/>
          <w:szCs w:val="22"/>
        </w:rPr>
        <w:t>$500 millones para la actividad “2 – Vincular a 40.000 personas que reciben estrategias de comunicación”. Este ajuste facilita ampliar los canales de difusión y desarrollar campañas con mayor alcance sobre cambio climático, biodiversidad y cuidado ambiental, contribuyendo a que los mensajes lleguen de forma más sólida y permanente a distintos grupos poblacionales.</w:t>
      </w:r>
    </w:p>
    <w:p w:rsidR="00743DA6" w:rsidRDefault="00D95D19">
      <w:pPr>
        <w:spacing w:line="259" w:lineRule="auto"/>
        <w:jc w:val="both"/>
        <w:rPr>
          <w:sz w:val="22"/>
          <w:szCs w:val="22"/>
        </w:rPr>
      </w:pPr>
      <w:r>
        <w:rPr>
          <w:b/>
          <w:bCs/>
          <w:sz w:val="22"/>
          <w:szCs w:val="22"/>
        </w:rPr>
        <w:t>Instituto Distrital de Protección y Bienestar Animal - IDPYBA</w:t>
      </w:r>
    </w:p>
    <w:p w:rsidR="00743DA6" w:rsidRDefault="00D95D19">
      <w:pPr>
        <w:pStyle w:val="Ttulo3"/>
        <w:keepNext w:val="0"/>
        <w:keepLines w:val="0"/>
        <w:spacing w:before="280" w:after="80" w:line="259" w:lineRule="auto"/>
        <w:jc w:val="both"/>
        <w:rPr>
          <w:rFonts w:ascii="Arial" w:eastAsia="Arial" w:hAnsi="Arial" w:cs="Arial"/>
          <w:b/>
          <w:bCs/>
          <w:color w:val="000000"/>
          <w:sz w:val="22"/>
          <w:szCs w:val="22"/>
        </w:rPr>
      </w:pPr>
      <w:bookmarkStart w:id="3" w:name="_heading=h.j7jsdwer4vbj" w:colFirst="0" w:colLast="0"/>
      <w:bookmarkEnd w:id="3"/>
      <w:r>
        <w:rPr>
          <w:rFonts w:ascii="Arial" w:eastAsia="Arial" w:hAnsi="Arial" w:cs="Arial"/>
          <w:b/>
          <w:bCs/>
          <w:color w:val="000000"/>
          <w:sz w:val="22"/>
          <w:szCs w:val="22"/>
        </w:rPr>
        <w:t>Análisis Fiscal Anual del IDPYBA (2022-2026)</w:t>
      </w:r>
    </w:p>
    <w:p w:rsidR="00743DA6" w:rsidRDefault="00D95D19">
      <w:pPr>
        <w:spacing w:before="240" w:after="240" w:line="259" w:lineRule="auto"/>
        <w:jc w:val="both"/>
        <w:rPr>
          <w:sz w:val="22"/>
          <w:szCs w:val="22"/>
        </w:rPr>
      </w:pPr>
      <w:r>
        <w:rPr>
          <w:sz w:val="22"/>
          <w:szCs w:val="22"/>
        </w:rPr>
        <w:t>El análisis del IDPYBA evidencia una trayectoria que pasa de niveles elevados de eficiencia a una disminución progresiva en su capacidad operativa. El incremento de recursos no fue acompañado por un fortalecimiento equivalente en los mecanismos de gestión, lo que derivó en una sobreasignación presupuestal y, posteriormente, en un ajuste a la baja para la vigencia 2026.</w:t>
      </w:r>
    </w:p>
    <w:p w:rsidR="00743DA6" w:rsidRDefault="00D95D19">
      <w:pPr>
        <w:spacing w:line="259" w:lineRule="auto"/>
        <w:jc w:val="center"/>
        <w:rPr>
          <w:b/>
          <w:bCs/>
          <w:sz w:val="22"/>
          <w:szCs w:val="22"/>
        </w:rPr>
      </w:pPr>
      <w:r>
        <w:rPr>
          <w:b/>
          <w:bCs/>
          <w:sz w:val="22"/>
          <w:szCs w:val="22"/>
        </w:rPr>
        <w:t xml:space="preserve">Gráfica x: Histórico Presupuestal 2022-2026 IDRD </w:t>
      </w:r>
    </w:p>
    <w:p w:rsidR="00743DA6" w:rsidRDefault="00D95D19">
      <w:pPr>
        <w:spacing w:line="259" w:lineRule="auto"/>
      </w:pPr>
      <w:r>
        <w:rPr>
          <w:noProof/>
          <w:lang w:val="es-CO"/>
        </w:rPr>
        <w:drawing>
          <wp:inline distT="114300" distB="114300" distL="114300" distR="114300">
            <wp:extent cx="5612130" cy="3276600"/>
            <wp:effectExtent l="0" t="0" r="0" b="0"/>
            <wp:docPr id="212739959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4"/>
                    <a:srcRect/>
                    <a:stretch>
                      <a:fillRect/>
                    </a:stretch>
                  </pic:blipFill>
                  <pic:spPr>
                    <a:xfrm>
                      <a:off x="0" y="0"/>
                      <a:ext cx="5612130" cy="3276600"/>
                    </a:xfrm>
                    <a:prstGeom prst="rect">
                      <a:avLst/>
                    </a:prstGeom>
                    <a:ln/>
                  </pic:spPr>
                </pic:pic>
              </a:graphicData>
            </a:graphic>
          </wp:inline>
        </w:drawing>
      </w:r>
    </w:p>
    <w:p w:rsidR="00743DA6" w:rsidRDefault="00D95D19">
      <w:pPr>
        <w:spacing w:line="276" w:lineRule="auto"/>
        <w:jc w:val="center"/>
      </w:pPr>
      <w:r>
        <w:rPr>
          <w:b/>
          <w:bCs/>
          <w:sz w:val="16"/>
          <w:szCs w:val="16"/>
        </w:rPr>
        <w:t>Fuente:</w:t>
      </w:r>
      <w:r>
        <w:rPr>
          <w:sz w:val="16"/>
          <w:szCs w:val="16"/>
        </w:rPr>
        <w:t xml:space="preserve"> Elaboración propia (2025) con base en la información suministrada de la SDH (2025).</w:t>
      </w:r>
    </w:p>
    <w:p w:rsidR="00743DA6" w:rsidRDefault="00D95D19">
      <w:pPr>
        <w:pStyle w:val="Ttulo4"/>
        <w:keepNext w:val="0"/>
        <w:spacing w:after="40" w:line="259" w:lineRule="auto"/>
        <w:jc w:val="both"/>
        <w:rPr>
          <w:rFonts w:ascii="Arial" w:eastAsia="Arial" w:hAnsi="Arial" w:cs="Arial"/>
          <w:sz w:val="22"/>
          <w:szCs w:val="22"/>
        </w:rPr>
      </w:pPr>
      <w:bookmarkStart w:id="4" w:name="_heading=h.l3p9cdcxoo83" w:colFirst="0" w:colLast="0"/>
      <w:bookmarkEnd w:id="4"/>
      <w:r>
        <w:rPr>
          <w:rFonts w:ascii="Arial" w:eastAsia="Arial" w:hAnsi="Arial" w:cs="Arial"/>
          <w:sz w:val="22"/>
          <w:szCs w:val="22"/>
        </w:rPr>
        <w:t>2022: Referente de Eficiencia</w:t>
      </w:r>
    </w:p>
    <w:p w:rsidR="00743DA6" w:rsidRDefault="00D95D19">
      <w:pPr>
        <w:spacing w:before="240" w:after="240" w:line="259" w:lineRule="auto"/>
        <w:jc w:val="both"/>
        <w:rPr>
          <w:sz w:val="22"/>
          <w:szCs w:val="22"/>
        </w:rPr>
      </w:pPr>
      <w:r>
        <w:rPr>
          <w:sz w:val="22"/>
          <w:szCs w:val="22"/>
        </w:rPr>
        <w:t>El periodo inicia con una asignación de $33.956 millones. En este año, el IDPYBA operó con estándares de eficiencia sobresalientes: logró comprometer prácticamente la totalidad de sus recursos (99.88%) y alcanzó una ejecución de pagos (giros) del 92.56% ($31.431 millones). Esta vigencia demostró que, con un presupuesto acotado, la entidad tenía la capacidad de materializar casi toda su inversión.</w:t>
      </w:r>
    </w:p>
    <w:p w:rsidR="00743DA6" w:rsidRDefault="00D95D19">
      <w:pPr>
        <w:pStyle w:val="Ttulo4"/>
        <w:keepNext w:val="0"/>
        <w:spacing w:after="40" w:line="259" w:lineRule="auto"/>
        <w:jc w:val="both"/>
        <w:rPr>
          <w:rFonts w:ascii="Arial" w:eastAsia="Arial" w:hAnsi="Arial" w:cs="Arial"/>
          <w:sz w:val="22"/>
          <w:szCs w:val="22"/>
        </w:rPr>
      </w:pPr>
      <w:bookmarkStart w:id="5" w:name="_heading=h.bhh2dbsurkxn" w:colFirst="0" w:colLast="0"/>
      <w:bookmarkEnd w:id="5"/>
      <w:r>
        <w:rPr>
          <w:rFonts w:ascii="Arial" w:eastAsia="Arial" w:hAnsi="Arial" w:cs="Arial"/>
          <w:sz w:val="22"/>
          <w:szCs w:val="22"/>
        </w:rPr>
        <w:t>2023: Contracción y Mantenimiento de la Gestión</w:t>
      </w:r>
    </w:p>
    <w:p w:rsidR="00743DA6" w:rsidRDefault="00D95D19">
      <w:pPr>
        <w:spacing w:before="240" w:after="240" w:line="259" w:lineRule="auto"/>
        <w:jc w:val="both"/>
        <w:rPr>
          <w:sz w:val="22"/>
          <w:szCs w:val="22"/>
        </w:rPr>
      </w:pPr>
      <w:r>
        <w:rPr>
          <w:sz w:val="22"/>
          <w:szCs w:val="22"/>
        </w:rPr>
        <w:t>En 2023, el presupuesto sufrió una contracción del -18%, bajando a $27.804 millones. A pesar de tener menos recursos, la entidad mantuvo su disciplina fiscal, logrando nuevamente comprometer el 100% de la apropiación y manteniendo los giros en un nivel alto del 91.07%. Hasta este punto, el IDPYBA se comportaba como una entidad fiscalmente responsable y eficiente.</w:t>
      </w:r>
    </w:p>
    <w:p w:rsidR="00743DA6" w:rsidRDefault="00D95D19">
      <w:pPr>
        <w:pStyle w:val="Ttulo4"/>
        <w:keepNext w:val="0"/>
        <w:spacing w:after="40" w:line="259" w:lineRule="auto"/>
        <w:jc w:val="both"/>
        <w:rPr>
          <w:rFonts w:ascii="Arial" w:eastAsia="Arial" w:hAnsi="Arial" w:cs="Arial"/>
          <w:sz w:val="22"/>
          <w:szCs w:val="22"/>
        </w:rPr>
      </w:pPr>
      <w:bookmarkStart w:id="6" w:name="_heading=h.qmm3ka1b96o2" w:colFirst="0" w:colLast="0"/>
      <w:bookmarkEnd w:id="6"/>
      <w:r>
        <w:rPr>
          <w:rFonts w:ascii="Arial" w:eastAsia="Arial" w:hAnsi="Arial" w:cs="Arial"/>
          <w:sz w:val="22"/>
          <w:szCs w:val="22"/>
        </w:rPr>
        <w:t>2024: Expansión y Primeras Señales de Alerta</w:t>
      </w:r>
    </w:p>
    <w:p w:rsidR="00743DA6" w:rsidRDefault="00D95D19">
      <w:pPr>
        <w:spacing w:before="240" w:after="240" w:line="259" w:lineRule="auto"/>
        <w:jc w:val="both"/>
        <w:rPr>
          <w:sz w:val="22"/>
          <w:szCs w:val="22"/>
        </w:rPr>
      </w:pPr>
      <w:r>
        <w:rPr>
          <w:sz w:val="22"/>
          <w:szCs w:val="22"/>
        </w:rPr>
        <w:t>El escenario cambió en 2024 con una inyección de recursos importante (+35%), elevando el presupuesto a $37.770 millones. Sin embargo, la capacidad administrativa no escaló a la misma velocidad. Aunque la contratación se mantuvo aceptable (84%), la ejecución de pagos cayó al 71.24%. La brecha entre lo que se tenía y lo que se pagaba empezó a abrirse, indicando los primeros problemas de gestión ante mayores flujos de capital.</w:t>
      </w:r>
    </w:p>
    <w:p w:rsidR="00743DA6" w:rsidRDefault="00D95D19">
      <w:pPr>
        <w:pStyle w:val="Ttulo4"/>
        <w:keepNext w:val="0"/>
        <w:spacing w:after="40" w:line="259" w:lineRule="auto"/>
        <w:jc w:val="both"/>
        <w:rPr>
          <w:rFonts w:ascii="Arial" w:eastAsia="Arial" w:hAnsi="Arial" w:cs="Arial"/>
          <w:sz w:val="22"/>
          <w:szCs w:val="22"/>
        </w:rPr>
      </w:pPr>
      <w:bookmarkStart w:id="7" w:name="_heading=h.ogunji8e5p84" w:colFirst="0" w:colLast="0"/>
      <w:bookmarkEnd w:id="7"/>
      <w:r>
        <w:rPr>
          <w:rFonts w:ascii="Arial" w:eastAsia="Arial" w:hAnsi="Arial" w:cs="Arial"/>
          <w:sz w:val="22"/>
          <w:szCs w:val="22"/>
        </w:rPr>
        <w:t>2025: Sobredimensionamiento y Caída de la Ejecución</w:t>
      </w:r>
    </w:p>
    <w:p w:rsidR="00743DA6" w:rsidRDefault="00D95D19">
      <w:pPr>
        <w:spacing w:before="240" w:after="240" w:line="259" w:lineRule="auto"/>
        <w:jc w:val="both"/>
        <w:rPr>
          <w:sz w:val="22"/>
          <w:szCs w:val="22"/>
        </w:rPr>
      </w:pPr>
      <w:r>
        <w:rPr>
          <w:sz w:val="22"/>
          <w:szCs w:val="22"/>
        </w:rPr>
        <w:t xml:space="preserve">El año 2025 confirma la tendencia de deterioro. El presupuesto creció nuevamente (+29%) hasta alcanzar un pico histórico de $48.958 millones. Lamentablemente, este aumento desbordó la capacidad operativa del Instituto en dos aspectos contratación y giros </w:t>
      </w:r>
    </w:p>
    <w:p w:rsidR="00743DA6" w:rsidRDefault="00D95D19">
      <w:pPr>
        <w:spacing w:before="240" w:after="240" w:line="259" w:lineRule="auto"/>
        <w:jc w:val="both"/>
        <w:rPr>
          <w:sz w:val="22"/>
          <w:szCs w:val="22"/>
        </w:rPr>
      </w:pPr>
      <w:r>
        <w:rPr>
          <w:b/>
          <w:bCs/>
          <w:sz w:val="22"/>
          <w:szCs w:val="22"/>
        </w:rPr>
        <w:t>Contratación:</w:t>
      </w:r>
      <w:r>
        <w:rPr>
          <w:sz w:val="22"/>
          <w:szCs w:val="22"/>
        </w:rPr>
        <w:t xml:space="preserve"> Se logró comprometer el 81.25%, lo cual es aceptable pero inferior a los años base.</w:t>
      </w:r>
    </w:p>
    <w:p w:rsidR="00743DA6" w:rsidRDefault="00D95D19">
      <w:pPr>
        <w:spacing w:before="240" w:after="240" w:line="259" w:lineRule="auto"/>
        <w:jc w:val="both"/>
        <w:rPr>
          <w:sz w:val="22"/>
          <w:szCs w:val="22"/>
        </w:rPr>
      </w:pPr>
      <w:r>
        <w:rPr>
          <w:b/>
          <w:bCs/>
          <w:sz w:val="22"/>
          <w:szCs w:val="22"/>
        </w:rPr>
        <w:t>Pagos (Giros):</w:t>
      </w:r>
      <w:r>
        <w:rPr>
          <w:sz w:val="22"/>
          <w:szCs w:val="22"/>
        </w:rPr>
        <w:t xml:space="preserve"> El indicador principal descendió a 50,72 % (equivalente a $24.829 millones). De los cerca de $49.000 millones disponibles, menos de $25.000 millones se materializaron en pagos efectivos. Esto implica que, aun contando con una asignación superior a la de 2022, la entidad ejecutó en términos absolutos una menor cantidad de recursos ($24.800 millones frente a $31.400 millones), lo que evidencia una disminución significativa en su capacidad de ejecución.</w:t>
      </w:r>
    </w:p>
    <w:p w:rsidR="00743DA6" w:rsidRDefault="00D95D19">
      <w:pPr>
        <w:pStyle w:val="Ttulo4"/>
        <w:keepNext w:val="0"/>
        <w:spacing w:after="40" w:line="259" w:lineRule="auto"/>
        <w:jc w:val="both"/>
        <w:rPr>
          <w:rFonts w:ascii="Arial" w:eastAsia="Arial" w:hAnsi="Arial" w:cs="Arial"/>
          <w:sz w:val="22"/>
          <w:szCs w:val="22"/>
        </w:rPr>
      </w:pPr>
      <w:bookmarkStart w:id="8" w:name="_heading=h.cn6u3wfx4mka" w:colFirst="0" w:colLast="0"/>
      <w:bookmarkEnd w:id="8"/>
      <w:r>
        <w:rPr>
          <w:rFonts w:ascii="Arial" w:eastAsia="Arial" w:hAnsi="Arial" w:cs="Arial"/>
          <w:sz w:val="22"/>
          <w:szCs w:val="22"/>
        </w:rPr>
        <w:t>2026: Ajuste Técnico a la Realidad Operativa (Proyección)</w:t>
      </w:r>
    </w:p>
    <w:p w:rsidR="00743DA6" w:rsidRDefault="00D95D19">
      <w:pPr>
        <w:spacing w:before="240" w:after="240" w:line="259" w:lineRule="auto"/>
        <w:jc w:val="both"/>
        <w:rPr>
          <w:sz w:val="22"/>
          <w:szCs w:val="22"/>
        </w:rPr>
      </w:pPr>
      <w:r>
        <w:rPr>
          <w:sz w:val="22"/>
          <w:szCs w:val="22"/>
        </w:rPr>
        <w:t>Dado que la entidad no logró gestionar de manera efectiva el aumento de recursos asignados en 2025, el presupuesto para 2026 se reduce a $45.386 millones, lo que representa un ajuste de -$3.572 millones (-7,30 %). Si bien la medida se presenta como una corrección técnica frente a los niveles de ejecución observados, el recorte introduce un riesgo adicional: una disminución de recursos en un momento en que la entidad requiere fortalecer su capacidad operativa para evitar que las brechas de gestión se profundicen.</w:t>
      </w:r>
    </w:p>
    <w:p w:rsidR="00743DA6" w:rsidRDefault="00D95D19">
      <w:pPr>
        <w:spacing w:before="240" w:after="240" w:line="259" w:lineRule="auto"/>
        <w:jc w:val="both"/>
        <w:rPr>
          <w:b/>
          <w:bCs/>
          <w:sz w:val="22"/>
          <w:szCs w:val="22"/>
        </w:rPr>
      </w:pPr>
      <w:r>
        <w:rPr>
          <w:b/>
          <w:bCs/>
          <w:sz w:val="22"/>
          <w:szCs w:val="22"/>
        </w:rPr>
        <w:t>Hallazgos</w:t>
      </w:r>
    </w:p>
    <w:p w:rsidR="00743DA6" w:rsidRDefault="00D95D19">
      <w:pPr>
        <w:spacing w:before="240" w:after="240" w:line="259" w:lineRule="auto"/>
        <w:jc w:val="both"/>
        <w:rPr>
          <w:b/>
          <w:bCs/>
          <w:sz w:val="22"/>
          <w:szCs w:val="22"/>
        </w:rPr>
      </w:pPr>
      <w:r>
        <w:rPr>
          <w:b/>
          <w:bCs/>
          <w:sz w:val="22"/>
          <w:szCs w:val="22"/>
        </w:rPr>
        <w:t>Actividades que presentan recorte presupuestal</w:t>
      </w:r>
    </w:p>
    <w:p w:rsidR="00743DA6" w:rsidRDefault="00D95D19">
      <w:pPr>
        <w:spacing w:before="240" w:after="240" w:line="259" w:lineRule="auto"/>
        <w:jc w:val="both"/>
        <w:rPr>
          <w:b/>
          <w:bCs/>
          <w:sz w:val="22"/>
          <w:szCs w:val="22"/>
        </w:rPr>
      </w:pPr>
      <w:r>
        <w:rPr>
          <w:b/>
          <w:bCs/>
          <w:sz w:val="22"/>
          <w:szCs w:val="22"/>
        </w:rPr>
        <w:t>Tabla Tabla 19: Comparativo 2025-2026 por Actividades del IDPYBA que presentan reducciones</w:t>
      </w:r>
    </w:p>
    <w:sdt>
      <w:sdtPr>
        <w:rPr>
          <w:rFonts w:ascii="Arial" w:eastAsia="Arial" w:hAnsi="Arial" w:cs="Arial"/>
          <w:sz w:val="24"/>
          <w:szCs w:val="24"/>
          <w:lang w:val="es" w:eastAsia="es-CO"/>
        </w:rPr>
        <w:tag w:val="goog_rdk_98"/>
        <w:id w:val="1707374697"/>
        <w:lock w:val="contentLocked"/>
      </w:sdtPr>
      <w:sdtEndPr/>
      <w:sdtContent>
        <w:tbl>
          <w:tblPr>
            <w:tblStyle w:val="affffff"/>
            <w:tblW w:w="8838" w:type="dxa"/>
            <w:tblBorders>
              <w:top w:val="nil"/>
              <w:left w:val="nil"/>
              <w:bottom w:val="nil"/>
              <w:right w:val="nil"/>
              <w:insideH w:val="nil"/>
              <w:insideV w:val="nil"/>
            </w:tblBorders>
            <w:tblLayout w:type="fixed"/>
            <w:tblLook w:val="0600" w:firstRow="0" w:lastRow="0" w:firstColumn="0" w:lastColumn="0" w:noHBand="1" w:noVBand="1"/>
          </w:tblPr>
          <w:tblGrid>
            <w:gridCol w:w="1813"/>
            <w:gridCol w:w="1405"/>
            <w:gridCol w:w="1405"/>
            <w:gridCol w:w="1405"/>
            <w:gridCol w:w="1405"/>
            <w:gridCol w:w="1405"/>
          </w:tblGrid>
          <w:tr w:rsidR="00743DA6">
            <w:trPr>
              <w:trHeight w:val="525"/>
            </w:trPr>
            <w:sdt>
              <w:sdtPr>
                <w:rPr>
                  <w:rFonts w:ascii="Arial" w:eastAsia="Arial" w:hAnsi="Arial" w:cs="Arial"/>
                  <w:sz w:val="24"/>
                  <w:szCs w:val="24"/>
                  <w:lang w:val="es" w:eastAsia="es-CO"/>
                </w:rPr>
                <w:tag w:val="goog_rdk_2"/>
                <w:id w:val="1004130002"/>
                <w:lock w:val="contentLocked"/>
              </w:sdtPr>
              <w:sdtEndPr>
                <w:rPr>
                  <w:rFonts w:ascii="Calibri" w:eastAsia="Calibri" w:hAnsi="Calibri" w:cs="Calibri"/>
                  <w:sz w:val="22"/>
                  <w:szCs w:val="22"/>
                  <w:lang w:val="en-US" w:eastAsia="en-US"/>
                </w:rPr>
              </w:sdtEndPr>
              <w:sdtContent>
                <w:tc>
                  <w:tcPr>
                    <w:tcW w:w="1812" w:type="dxa"/>
                    <w:tcBorders>
                      <w:top w:val="single" w:sz="8" w:space="0" w:color="000000"/>
                      <w:left w:val="single" w:sz="8" w:space="0" w:color="000000"/>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NOMBRE DE LA ACTIVIDAD</w:t>
                    </w:r>
                  </w:p>
                </w:tc>
              </w:sdtContent>
            </w:sdt>
            <w:sdt>
              <w:sdtPr>
                <w:tag w:val="goog_rdk_3"/>
                <w:id w:val="1918623549"/>
                <w:lock w:val="contentLocked"/>
              </w:sdtPr>
              <w:sdtEndPr/>
              <w:sdtContent>
                <w:tc>
                  <w:tcPr>
                    <w:tcW w:w="140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2025</w:t>
                    </w:r>
                  </w:p>
                </w:tc>
              </w:sdtContent>
            </w:sdt>
            <w:sdt>
              <w:sdtPr>
                <w:tag w:val="goog_rdk_4"/>
                <w:id w:val="-696127581"/>
                <w:lock w:val="contentLocked"/>
              </w:sdtPr>
              <w:sdtEndPr/>
              <w:sdtContent>
                <w:tc>
                  <w:tcPr>
                    <w:tcW w:w="140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CONTRATADO 2025</w:t>
                    </w:r>
                  </w:p>
                </w:tc>
              </w:sdtContent>
            </w:sdt>
            <w:sdt>
              <w:sdtPr>
                <w:tag w:val="goog_rdk_5"/>
                <w:id w:val="-990593201"/>
                <w:lock w:val="contentLocked"/>
              </w:sdtPr>
              <w:sdtEndPr/>
              <w:sdtContent>
                <w:tc>
                  <w:tcPr>
                    <w:tcW w:w="140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GIRADO 2025</w:t>
                    </w:r>
                  </w:p>
                </w:tc>
              </w:sdtContent>
            </w:sdt>
            <w:sdt>
              <w:sdtPr>
                <w:tag w:val="goog_rdk_6"/>
                <w:id w:val="1515391897"/>
                <w:lock w:val="contentLocked"/>
              </w:sdtPr>
              <w:sdtEndPr/>
              <w:sdtContent>
                <w:tc>
                  <w:tcPr>
                    <w:tcW w:w="140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2026</w:t>
                    </w:r>
                  </w:p>
                </w:tc>
              </w:sdtContent>
            </w:sdt>
            <w:sdt>
              <w:sdtPr>
                <w:tag w:val="goog_rdk_7"/>
                <w:id w:val="632882260"/>
                <w:lock w:val="contentLocked"/>
              </w:sdtPr>
              <w:sdtEndPr/>
              <w:sdtContent>
                <w:tc>
                  <w:tcPr>
                    <w:tcW w:w="140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DIFERENCIA 2025 - 2026</w:t>
                    </w:r>
                  </w:p>
                </w:tc>
              </w:sdtContent>
            </w:sdt>
          </w:tr>
          <w:tr w:rsidR="00743DA6">
            <w:trPr>
              <w:trHeight w:val="2325"/>
            </w:trPr>
            <w:sdt>
              <w:sdtPr>
                <w:tag w:val="goog_rdk_8"/>
                <w:id w:val="898609615"/>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Atender 41800 Canino(s) y felino(s) en condición de vulnerabilidad a traves de brigadas médicas, urgencias veterinarias, custodia y adopciones en el Distrito Capital</w:t>
                    </w:r>
                  </w:p>
                </w:tc>
              </w:sdtContent>
            </w:sdt>
            <w:sdt>
              <w:sdtPr>
                <w:tag w:val="goog_rdk_9"/>
                <w:id w:val="957754803"/>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$ 10,162</w:t>
                    </w:r>
                  </w:p>
                </w:tc>
              </w:sdtContent>
            </w:sdt>
            <w:sdt>
              <w:sdtPr>
                <w:tag w:val="goog_rdk_10"/>
                <w:id w:val="-2057806943"/>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$ 7,575</w:t>
                    </w:r>
                  </w:p>
                </w:tc>
              </w:sdtContent>
            </w:sdt>
            <w:sdt>
              <w:sdtPr>
                <w:tag w:val="goog_rdk_11"/>
                <w:id w:val="-455057681"/>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$ 4,265</w:t>
                    </w:r>
                  </w:p>
                </w:tc>
              </w:sdtContent>
            </w:sdt>
            <w:sdt>
              <w:sdtPr>
                <w:tag w:val="goog_rdk_12"/>
                <w:id w:val="675463801"/>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$ 8,671</w:t>
                    </w:r>
                  </w:p>
                </w:tc>
              </w:sdtContent>
            </w:sdt>
            <w:sdt>
              <w:sdtPr>
                <w:tag w:val="goog_rdk_13"/>
                <w:id w:val="196679779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-$ 1,491</w:t>
                    </w:r>
                  </w:p>
                </w:tc>
              </w:sdtContent>
            </w:sdt>
          </w:tr>
          <w:tr w:rsidR="00743DA6">
            <w:trPr>
              <w:trHeight w:val="3675"/>
            </w:trPr>
            <w:sdt>
              <w:sdtPr>
                <w:tag w:val="goog_rdk_14"/>
                <w:id w:val="-1089693521"/>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Atender 5000 Animales de compañía que se encuentren bajo el cuidado de proteccionistas, y rescatistas con hogares de paso y albergues de animales vulnerables a traves del Programa de Brigadas Médicas en las 20 localidades del Distrito Capital.</w:t>
                    </w:r>
                  </w:p>
                </w:tc>
              </w:sdtContent>
            </w:sdt>
            <w:sdt>
              <w:sdtPr>
                <w:tag w:val="goog_rdk_15"/>
                <w:id w:val="-126476026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$ 595</w:t>
                    </w:r>
                  </w:p>
                </w:tc>
              </w:sdtContent>
            </w:sdt>
            <w:sdt>
              <w:sdtPr>
                <w:tag w:val="goog_rdk_16"/>
                <w:id w:val="197896421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$ 487</w:t>
                    </w:r>
                  </w:p>
                </w:tc>
              </w:sdtContent>
            </w:sdt>
            <w:sdt>
              <w:sdtPr>
                <w:tag w:val="goog_rdk_17"/>
                <w:id w:val="-202205880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$ 253</w:t>
                    </w:r>
                  </w:p>
                </w:tc>
              </w:sdtContent>
            </w:sdt>
            <w:sdt>
              <w:sdtPr>
                <w:tag w:val="goog_rdk_18"/>
                <w:id w:val="-1702878709"/>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$ 577</w:t>
                    </w:r>
                  </w:p>
                </w:tc>
              </w:sdtContent>
            </w:sdt>
            <w:sdt>
              <w:sdtPr>
                <w:tag w:val="goog_rdk_19"/>
                <w:id w:val="-70708113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w:t>
                    </w:r>
                  </w:p>
                </w:tc>
              </w:sdtContent>
            </w:sdt>
          </w:tr>
          <w:tr w:rsidR="00743DA6">
            <w:trPr>
              <w:trHeight w:val="2325"/>
            </w:trPr>
            <w:sdt>
              <w:sdtPr>
                <w:tag w:val="goog_rdk_20"/>
                <w:id w:val="-1155346126"/>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Atender 23200 Animales dómesticos, de granja y especies no convencionales reportados a traves de denuncias por presunto maltrato animal en el Distrito Capital.</w:t>
                    </w:r>
                  </w:p>
                </w:tc>
              </w:sdtContent>
            </w:sdt>
            <w:sdt>
              <w:sdtPr>
                <w:tag w:val="goog_rdk_21"/>
                <w:id w:val="-190152294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$ 2,079</w:t>
                    </w:r>
                  </w:p>
                </w:tc>
              </w:sdtContent>
            </w:sdt>
            <w:sdt>
              <w:sdtPr>
                <w:tag w:val="goog_rdk_22"/>
                <w:id w:val="180570083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$ 1,962</w:t>
                    </w:r>
                  </w:p>
                </w:tc>
              </w:sdtContent>
            </w:sdt>
            <w:sdt>
              <w:sdtPr>
                <w:tag w:val="goog_rdk_23"/>
                <w:id w:val="-109844574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$ 975</w:t>
                    </w:r>
                  </w:p>
                </w:tc>
              </w:sdtContent>
            </w:sdt>
            <w:sdt>
              <w:sdtPr>
                <w:tag w:val="goog_rdk_24"/>
                <w:id w:val="-782514869"/>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$ 1,689</w:t>
                    </w:r>
                  </w:p>
                </w:tc>
              </w:sdtContent>
            </w:sdt>
            <w:sdt>
              <w:sdtPr>
                <w:tag w:val="goog_rdk_25"/>
                <w:id w:val="-2005746469"/>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-$ 390</w:t>
                    </w:r>
                  </w:p>
                </w:tc>
              </w:sdtContent>
            </w:sdt>
          </w:tr>
          <w:tr w:rsidR="00743DA6">
            <w:trPr>
              <w:trHeight w:val="4350"/>
            </w:trPr>
            <w:sdt>
              <w:sdtPr>
                <w:tag w:val="goog_rdk_26"/>
                <w:id w:val="155561942"/>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5 - Implementar 2 Programa(s) de atención a especies sin antrópicas, orientados a la atención médica veterinaria y control poblacional humanitario para palomas de plaza (Columba Livia y a la atención y rehabilitación de enjambres de abejas (Apis melífera) y estrategias de educación ambiental.</w:t>
                    </w:r>
                  </w:p>
                </w:tc>
              </w:sdtContent>
            </w:sdt>
            <w:sdt>
              <w:sdtPr>
                <w:tag w:val="goog_rdk_27"/>
                <w:id w:val="369039387"/>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$ 486</w:t>
                    </w:r>
                  </w:p>
                </w:tc>
              </w:sdtContent>
            </w:sdt>
            <w:sdt>
              <w:sdtPr>
                <w:tag w:val="goog_rdk_28"/>
                <w:id w:val="-4692535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$ 430</w:t>
                    </w:r>
                  </w:p>
                </w:tc>
              </w:sdtContent>
            </w:sdt>
            <w:sdt>
              <w:sdtPr>
                <w:tag w:val="goog_rdk_29"/>
                <w:id w:val="-1322877561"/>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$ 92</w:t>
                    </w:r>
                  </w:p>
                </w:tc>
              </w:sdtContent>
            </w:sdt>
            <w:sdt>
              <w:sdtPr>
                <w:tag w:val="goog_rdk_30"/>
                <w:id w:val="-1157586233"/>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$ 467</w:t>
                    </w:r>
                  </w:p>
                </w:tc>
              </w:sdtContent>
            </w:sdt>
            <w:sdt>
              <w:sdtPr>
                <w:tag w:val="goog_rdk_31"/>
                <w:id w:val="160622070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w:t>
                    </w:r>
                  </w:p>
                </w:tc>
              </w:sdtContent>
            </w:sdt>
          </w:tr>
          <w:tr w:rsidR="00743DA6">
            <w:trPr>
              <w:trHeight w:val="3900"/>
            </w:trPr>
            <w:sdt>
              <w:sdtPr>
                <w:tag w:val="goog_rdk_32"/>
                <w:id w:val="747525944"/>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Esterilizar 174241 Canino(s) y felino(s) en todas las localidades de la ciudad fortaleciendo la capacidad técnica de la estrategia Capturar Esterilizar y Soltar para la priorización de la atención de animales en condición de calle, ferales y semiferales y en condición de vulnerabilidad</w:t>
                    </w:r>
                  </w:p>
                </w:tc>
              </w:sdtContent>
            </w:sdt>
            <w:sdt>
              <w:sdtPr>
                <w:tag w:val="goog_rdk_33"/>
                <w:id w:val="-77788101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$ 10,235</w:t>
                    </w:r>
                  </w:p>
                </w:tc>
              </w:sdtContent>
            </w:sdt>
            <w:sdt>
              <w:sdtPr>
                <w:tag w:val="goog_rdk_34"/>
                <w:id w:val="-1214270107"/>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$ 8,116</w:t>
                    </w:r>
                  </w:p>
                </w:tc>
              </w:sdtContent>
            </w:sdt>
            <w:sdt>
              <w:sdtPr>
                <w:tag w:val="goog_rdk_35"/>
                <w:id w:val="-599644271"/>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$ 3,411</w:t>
                    </w:r>
                  </w:p>
                </w:tc>
              </w:sdtContent>
            </w:sdt>
            <w:sdt>
              <w:sdtPr>
                <w:tag w:val="goog_rdk_36"/>
                <w:id w:val="-82619919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$ 8,290</w:t>
                    </w:r>
                  </w:p>
                </w:tc>
              </w:sdtContent>
            </w:sdt>
            <w:sdt>
              <w:sdtPr>
                <w:tag w:val="goog_rdk_37"/>
                <w:id w:val="122353693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-$ 1,945</w:t>
                    </w:r>
                  </w:p>
                </w:tc>
              </w:sdtContent>
            </w:sdt>
          </w:tr>
          <w:tr w:rsidR="00743DA6">
            <w:trPr>
              <w:trHeight w:val="2100"/>
            </w:trPr>
            <w:sdt>
              <w:sdtPr>
                <w:tag w:val="goog_rdk_38"/>
                <w:id w:val="-1937222230"/>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Implementar 1 Estrategia(s) de regulación en protección y bienestar animal para los prestadores de servicios con y para animales en Bogotá.</w:t>
                    </w:r>
                  </w:p>
                </w:tc>
              </w:sdtContent>
            </w:sdt>
            <w:sdt>
              <w:sdtPr>
                <w:tag w:val="goog_rdk_39"/>
                <w:id w:val="1836590757"/>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$ 942</w:t>
                    </w:r>
                  </w:p>
                </w:tc>
              </w:sdtContent>
            </w:sdt>
            <w:sdt>
              <w:sdtPr>
                <w:tag w:val="goog_rdk_40"/>
                <w:id w:val="-121830247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$ 568</w:t>
                    </w:r>
                  </w:p>
                </w:tc>
              </w:sdtContent>
            </w:sdt>
            <w:sdt>
              <w:sdtPr>
                <w:tag w:val="goog_rdk_41"/>
                <w:id w:val="-12808507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$ 306</w:t>
                    </w:r>
                  </w:p>
                </w:tc>
              </w:sdtContent>
            </w:sdt>
            <w:sdt>
              <w:sdtPr>
                <w:tag w:val="goog_rdk_42"/>
                <w:id w:val="-514435409"/>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$ 818</w:t>
                    </w:r>
                  </w:p>
                </w:tc>
              </w:sdtContent>
            </w:sdt>
            <w:sdt>
              <w:sdtPr>
                <w:tag w:val="goog_rdk_43"/>
                <w:id w:val="-11733249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-$ 123</w:t>
                    </w:r>
                  </w:p>
                </w:tc>
              </w:sdtContent>
            </w:sdt>
          </w:tr>
          <w:tr w:rsidR="00743DA6">
            <w:trPr>
              <w:trHeight w:val="2775"/>
            </w:trPr>
            <w:sdt>
              <w:sdtPr>
                <w:tag w:val="goog_rdk_44"/>
                <w:id w:val="197319191"/>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7 - Establecer 1 Plan(es) para la ejecución de las necesidades en infraestructura para garantizar la capacidad instalada de la UCA y demás infraestructura para la protección y cuidado animal en el D.C</w:t>
                    </w:r>
                    <w:r>
                      <w:rPr>
                        <w:rFonts w:ascii="Arial" w:eastAsia="Arial" w:hAnsi="Arial" w:cs="Arial"/>
                        <w:sz w:val="18"/>
                        <w:szCs w:val="18"/>
                      </w:rPr>
                      <w:tab/>
                    </w:r>
                  </w:p>
                </w:tc>
              </w:sdtContent>
            </w:sdt>
            <w:sdt>
              <w:sdtPr>
                <w:tag w:val="goog_rdk_45"/>
                <w:id w:val="205317495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$ 1,040</w:t>
                    </w:r>
                  </w:p>
                </w:tc>
              </w:sdtContent>
            </w:sdt>
            <w:sdt>
              <w:sdtPr>
                <w:tag w:val="goog_rdk_46"/>
                <w:id w:val="1315488231"/>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$ 218</w:t>
                    </w:r>
                  </w:p>
                </w:tc>
              </w:sdtContent>
            </w:sdt>
            <w:sdt>
              <w:sdtPr>
                <w:tag w:val="goog_rdk_47"/>
                <w:id w:val="-66756379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$ 77</w:t>
                    </w:r>
                  </w:p>
                </w:tc>
              </w:sdtContent>
            </w:sdt>
            <w:sdt>
              <w:sdtPr>
                <w:tag w:val="goog_rdk_48"/>
                <w:id w:val="1919432853"/>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$ 381</w:t>
                    </w:r>
                  </w:p>
                </w:tc>
              </w:sdtContent>
            </w:sdt>
            <w:sdt>
              <w:sdtPr>
                <w:tag w:val="goog_rdk_49"/>
                <w:id w:val="894062529"/>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-$ 659</w:t>
                    </w:r>
                  </w:p>
                </w:tc>
              </w:sdtContent>
            </w:sdt>
          </w:tr>
          <w:tr w:rsidR="00743DA6">
            <w:trPr>
              <w:trHeight w:val="1425"/>
            </w:trPr>
            <w:sdt>
              <w:sdtPr>
                <w:tag w:val="goog_rdk_50"/>
                <w:id w:val="1749449384"/>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Generar 7 Producto(s) de investigación que contribuyan a la protección y el bienestar animal</w:t>
                    </w:r>
                  </w:p>
                </w:tc>
              </w:sdtContent>
            </w:sdt>
            <w:sdt>
              <w:sdtPr>
                <w:tag w:val="goog_rdk_51"/>
                <w:id w:val="1656738501"/>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$ 296</w:t>
                    </w:r>
                  </w:p>
                </w:tc>
              </w:sdtContent>
            </w:sdt>
            <w:sdt>
              <w:sdtPr>
                <w:tag w:val="goog_rdk_52"/>
                <w:id w:val="-169403927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$ 177</w:t>
                    </w:r>
                  </w:p>
                </w:tc>
              </w:sdtContent>
            </w:sdt>
            <w:sdt>
              <w:sdtPr>
                <w:tag w:val="goog_rdk_53"/>
                <w:id w:val="-323795853"/>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$ 100</w:t>
                    </w:r>
                  </w:p>
                </w:tc>
              </w:sdtContent>
            </w:sdt>
            <w:sdt>
              <w:sdtPr>
                <w:tag w:val="goog_rdk_54"/>
                <w:id w:val="-125798427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$ 104</w:t>
                    </w:r>
                  </w:p>
                </w:tc>
              </w:sdtContent>
            </w:sdt>
            <w:sdt>
              <w:sdtPr>
                <w:tag w:val="goog_rdk_55"/>
                <w:id w:val="-204491288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-$ 193</w:t>
                    </w:r>
                  </w:p>
                </w:tc>
              </w:sdtContent>
            </w:sdt>
          </w:tr>
          <w:tr w:rsidR="00743DA6">
            <w:trPr>
              <w:trHeight w:val="2325"/>
            </w:trPr>
            <w:sdt>
              <w:sdtPr>
                <w:tag w:val="goog_rdk_56"/>
                <w:id w:val="-1127299727"/>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Implementar 1 Semillero(s) de investigación como escenario para fomentar la vinculación ciudadana en procesos de gestión del conocimiento en PYBA</w:t>
                    </w:r>
                  </w:p>
                </w:tc>
              </w:sdtContent>
            </w:sdt>
            <w:sdt>
              <w:sdtPr>
                <w:tag w:val="goog_rdk_57"/>
                <w:id w:val="183419074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$ 94</w:t>
                    </w:r>
                  </w:p>
                </w:tc>
              </w:sdtContent>
            </w:sdt>
            <w:sdt>
              <w:sdtPr>
                <w:tag w:val="goog_rdk_58"/>
                <w:id w:val="-6546333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w:t>
                    </w:r>
                  </w:p>
                </w:tc>
              </w:sdtContent>
            </w:sdt>
            <w:sdt>
              <w:sdtPr>
                <w:tag w:val="goog_rdk_59"/>
                <w:id w:val="-1452059571"/>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$ 30</w:t>
                    </w:r>
                  </w:p>
                </w:tc>
              </w:sdtContent>
            </w:sdt>
            <w:sdt>
              <w:sdtPr>
                <w:tag w:val="goog_rdk_60"/>
                <w:id w:val="-67018503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$ 62</w:t>
                    </w:r>
                  </w:p>
                </w:tc>
              </w:sdtContent>
            </w:sdt>
            <w:sdt>
              <w:sdtPr>
                <w:tag w:val="goog_rdk_61"/>
                <w:id w:val="-79868485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-$ 33</w:t>
                    </w:r>
                  </w:p>
                </w:tc>
              </w:sdtContent>
            </w:sdt>
          </w:tr>
          <w:tr w:rsidR="00743DA6">
            <w:trPr>
              <w:trHeight w:val="1650"/>
            </w:trPr>
            <w:sdt>
              <w:sdtPr>
                <w:tag w:val="goog_rdk_62"/>
                <w:id w:val="1145183922"/>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9 - Realizar 100 Porciento de las fases definidas del ciclo de vida para la creación del sistema de información de la entidad</w:t>
                    </w:r>
                  </w:p>
                </w:tc>
              </w:sdtContent>
            </w:sdt>
            <w:sdt>
              <w:sdtPr>
                <w:tag w:val="goog_rdk_63"/>
                <w:id w:val="-76381305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$ 991</w:t>
                    </w:r>
                  </w:p>
                </w:tc>
              </w:sdtContent>
            </w:sdt>
            <w:sdt>
              <w:sdtPr>
                <w:tag w:val="goog_rdk_64"/>
                <w:id w:val="160168792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$ 103</w:t>
                    </w:r>
                  </w:p>
                </w:tc>
              </w:sdtContent>
            </w:sdt>
            <w:sdt>
              <w:sdtPr>
                <w:tag w:val="goog_rdk_65"/>
                <w:id w:val="-166202856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$ 67</w:t>
                    </w:r>
                  </w:p>
                </w:tc>
              </w:sdtContent>
            </w:sdt>
            <w:sdt>
              <w:sdtPr>
                <w:tag w:val="goog_rdk_66"/>
                <w:id w:val="-56317745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$ 987</w:t>
                    </w:r>
                  </w:p>
                </w:tc>
              </w:sdtContent>
            </w:sdt>
            <w:sdt>
              <w:sdtPr>
                <w:tag w:val="goog_rdk_67"/>
                <w:id w:val="49355294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w:t>
                    </w:r>
                  </w:p>
                </w:tc>
              </w:sdtContent>
            </w:sdt>
          </w:tr>
          <w:tr w:rsidR="00743DA6">
            <w:trPr>
              <w:trHeight w:val="1425"/>
            </w:trPr>
            <w:sdt>
              <w:sdtPr>
                <w:tag w:val="goog_rdk_68"/>
                <w:id w:val="1822007530"/>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Implementar 100 Porciento de las fases del modelo de planeación y gestión orientado a resultados</w:t>
                    </w:r>
                  </w:p>
                </w:tc>
              </w:sdtContent>
            </w:sdt>
            <w:sdt>
              <w:sdtPr>
                <w:tag w:val="goog_rdk_69"/>
                <w:id w:val="-109753175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$ 815</w:t>
                    </w:r>
                  </w:p>
                </w:tc>
              </w:sdtContent>
            </w:sdt>
            <w:sdt>
              <w:sdtPr>
                <w:tag w:val="goog_rdk_70"/>
                <w:id w:val="265264721"/>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$ 812</w:t>
                    </w:r>
                  </w:p>
                </w:tc>
              </w:sdtContent>
            </w:sdt>
            <w:sdt>
              <w:sdtPr>
                <w:tag w:val="goog_rdk_71"/>
                <w:id w:val="524715293"/>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$ 470</w:t>
                    </w:r>
                  </w:p>
                </w:tc>
              </w:sdtContent>
            </w:sdt>
            <w:sdt>
              <w:sdtPr>
                <w:tag w:val="goog_rdk_72"/>
                <w:id w:val="-90155586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$ 785</w:t>
                    </w:r>
                  </w:p>
                </w:tc>
              </w:sdtContent>
            </w:sdt>
            <w:sdt>
              <w:sdtPr>
                <w:tag w:val="goog_rdk_73"/>
                <w:id w:val="-491093303"/>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-$ 31</w:t>
                    </w:r>
                  </w:p>
                </w:tc>
              </w:sdtContent>
            </w:sdt>
          </w:tr>
          <w:tr w:rsidR="00743DA6">
            <w:trPr>
              <w:trHeight w:val="1650"/>
            </w:trPr>
            <w:sdt>
              <w:sdtPr>
                <w:tag w:val="goog_rdk_74"/>
                <w:id w:val="1216217117"/>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Implementar 100 Porciento la estrategia de comunicación para posicionar la entidad en el Distrito Capital</w:t>
                    </w:r>
                  </w:p>
                </w:tc>
              </w:sdtContent>
            </w:sdt>
            <w:sdt>
              <w:sdtPr>
                <w:tag w:val="goog_rdk_75"/>
                <w:id w:val="-122855302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$ 1,514</w:t>
                    </w:r>
                  </w:p>
                </w:tc>
              </w:sdtContent>
            </w:sdt>
            <w:sdt>
              <w:sdtPr>
                <w:tag w:val="goog_rdk_76"/>
                <w:id w:val="-28602288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$ 885</w:t>
                    </w:r>
                  </w:p>
                </w:tc>
              </w:sdtContent>
            </w:sdt>
            <w:sdt>
              <w:sdtPr>
                <w:tag w:val="goog_rdk_77"/>
                <w:id w:val="131104488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$ 503</w:t>
                    </w:r>
                  </w:p>
                </w:tc>
              </w:sdtContent>
            </w:sdt>
            <w:sdt>
              <w:sdtPr>
                <w:tag w:val="goog_rdk_78"/>
                <w:id w:val="146575112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$ 529</w:t>
                    </w:r>
                  </w:p>
                </w:tc>
              </w:sdtContent>
            </w:sdt>
            <w:sdt>
              <w:sdtPr>
                <w:tag w:val="goog_rdk_79"/>
                <w:id w:val="63473674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-$ 985</w:t>
                    </w:r>
                  </w:p>
                </w:tc>
              </w:sdtContent>
            </w:sdt>
          </w:tr>
          <w:tr w:rsidR="00743DA6">
            <w:trPr>
              <w:trHeight w:val="1875"/>
            </w:trPr>
            <w:sdt>
              <w:sdtPr>
                <w:tag w:val="goog_rdk_80"/>
                <w:id w:val="2022549700"/>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Fortalecer 100 Porciento la implementación de la estrategia de los procesos tecnológicos para el desarrollo institucional</w:t>
                    </w:r>
                  </w:p>
                </w:tc>
              </w:sdtContent>
            </w:sdt>
            <w:sdt>
              <w:sdtPr>
                <w:tag w:val="goog_rdk_81"/>
                <w:id w:val="-150325715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$ 2,695</w:t>
                    </w:r>
                  </w:p>
                </w:tc>
              </w:sdtContent>
            </w:sdt>
            <w:sdt>
              <w:sdtPr>
                <w:tag w:val="goog_rdk_82"/>
                <w:id w:val="-1222088709"/>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$ 2,326</w:t>
                    </w:r>
                  </w:p>
                </w:tc>
              </w:sdtContent>
            </w:sdt>
            <w:sdt>
              <w:sdtPr>
                <w:tag w:val="goog_rdk_83"/>
                <w:id w:val="17604817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$ 869</w:t>
                    </w:r>
                  </w:p>
                </w:tc>
              </w:sdtContent>
            </w:sdt>
            <w:sdt>
              <w:sdtPr>
                <w:tag w:val="goog_rdk_84"/>
                <w:id w:val="-63937698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$ 2,147</w:t>
                    </w:r>
                  </w:p>
                </w:tc>
              </w:sdtContent>
            </w:sdt>
            <w:sdt>
              <w:sdtPr>
                <w:tag w:val="goog_rdk_85"/>
                <w:id w:val="207530607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-$ 548</w:t>
                    </w:r>
                  </w:p>
                </w:tc>
              </w:sdtContent>
            </w:sdt>
          </w:tr>
          <w:tr w:rsidR="00743DA6">
            <w:trPr>
              <w:trHeight w:val="1875"/>
            </w:trPr>
            <w:sdt>
              <w:sdtPr>
                <w:tag w:val="goog_rdk_86"/>
                <w:id w:val="-473195800"/>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5 - Realizar 100 Porciento de las intervenciones en los procesos jurídicos, contractuales y disciplinarios de la entidad</w:t>
                    </w:r>
                  </w:p>
                </w:tc>
              </w:sdtContent>
            </w:sdt>
            <w:sdt>
              <w:sdtPr>
                <w:tag w:val="goog_rdk_87"/>
                <w:id w:val="-20979211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$ 1,838</w:t>
                    </w:r>
                  </w:p>
                </w:tc>
              </w:sdtContent>
            </w:sdt>
            <w:sdt>
              <w:sdtPr>
                <w:tag w:val="goog_rdk_88"/>
                <w:id w:val="-131061059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$ 1,803</w:t>
                    </w:r>
                  </w:p>
                </w:tc>
              </w:sdtContent>
            </w:sdt>
            <w:sdt>
              <w:sdtPr>
                <w:tag w:val="goog_rdk_89"/>
                <w:id w:val="-172834734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$ 1,143</w:t>
                    </w:r>
                  </w:p>
                </w:tc>
              </w:sdtContent>
            </w:sdt>
            <w:sdt>
              <w:sdtPr>
                <w:tag w:val="goog_rdk_90"/>
                <w:id w:val="-156865560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$ 1,720</w:t>
                    </w:r>
                  </w:p>
                </w:tc>
              </w:sdtContent>
            </w:sdt>
            <w:sdt>
              <w:sdtPr>
                <w:tag w:val="goog_rdk_91"/>
                <w:id w:val="-63681884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-$ 117</w:t>
                    </w:r>
                  </w:p>
                </w:tc>
              </w:sdtContent>
            </w:sdt>
          </w:tr>
          <w:tr w:rsidR="00743DA6">
            <w:trPr>
              <w:trHeight w:val="1425"/>
            </w:trPr>
            <w:sdt>
              <w:sdtPr>
                <w:tag w:val="goog_rdk_92"/>
                <w:id w:val="-1285704337"/>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7 - Realizar 100 Porciento de las acciones normativas en el marco de la gestión financiera y del talento humano</w:t>
                    </w:r>
                  </w:p>
                </w:tc>
              </w:sdtContent>
            </w:sdt>
            <w:sdt>
              <w:sdtPr>
                <w:tag w:val="goog_rdk_93"/>
                <w:id w:val="109710865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$ 857</w:t>
                    </w:r>
                  </w:p>
                </w:tc>
              </w:sdtContent>
            </w:sdt>
            <w:sdt>
              <w:sdtPr>
                <w:tag w:val="goog_rdk_94"/>
                <w:id w:val="124634584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$ 832</w:t>
                    </w:r>
                  </w:p>
                </w:tc>
              </w:sdtContent>
            </w:sdt>
            <w:sdt>
              <w:sdtPr>
                <w:tag w:val="goog_rdk_95"/>
                <w:id w:val="-108321750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$ 566</w:t>
                    </w:r>
                  </w:p>
                </w:tc>
              </w:sdtContent>
            </w:sdt>
            <w:sdt>
              <w:sdtPr>
                <w:tag w:val="goog_rdk_96"/>
                <w:id w:val="46761445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$ 852</w:t>
                    </w:r>
                  </w:p>
                </w:tc>
              </w:sdtContent>
            </w:sdt>
            <w:sdt>
              <w:sdtPr>
                <w:tag w:val="goog_rdk_97"/>
                <w:id w:val="-1955425773"/>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w:t>
                    </w:r>
                  </w:p>
                </w:tc>
              </w:sdtContent>
            </w:sdt>
          </w:tr>
        </w:tbl>
      </w:sdtContent>
    </w:sdt>
    <w:p w:rsidR="00743DA6" w:rsidRDefault="00D95D19">
      <w:pPr>
        <w:spacing w:line="276" w:lineRule="auto"/>
        <w:jc w:val="both"/>
      </w:pP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line="259" w:lineRule="auto"/>
        <w:rPr>
          <w:b/>
          <w:bCs/>
          <w:sz w:val="22"/>
          <w:szCs w:val="22"/>
        </w:rPr>
      </w:pPr>
      <w:r>
        <w:rPr>
          <w:b/>
          <w:bCs/>
          <w:sz w:val="22"/>
          <w:szCs w:val="22"/>
        </w:rPr>
        <w:t xml:space="preserve">Actividades con Recorte Presupuestal </w:t>
      </w:r>
    </w:p>
    <w:p w:rsidR="00743DA6" w:rsidRDefault="00D95D19">
      <w:pPr>
        <w:spacing w:before="240" w:after="240" w:line="259" w:lineRule="auto"/>
        <w:jc w:val="both"/>
        <w:rPr>
          <w:sz w:val="22"/>
          <w:szCs w:val="22"/>
        </w:rPr>
      </w:pPr>
      <w:r>
        <w:rPr>
          <w:sz w:val="22"/>
          <w:szCs w:val="22"/>
        </w:rPr>
        <w:t>Los recortes más amplios recaen sobre actividades directamente vinculadas con la misionalidad del IDPYBA. En control poblacional, la actividad de esterilizar 174.241 caninos y felinos presenta una disminución de -$1.945 millones, asociada a una ejecución del 33,3 % en 2025. A ello se suma la reducción de -$1.491 millones en la atención de animales en condición de vulnerabilidad, urgencias y brigadas, cuya ejecución alcanzó el 42 %. En materia de infraestructura, la adecuación de la Unidad de Cuidado Animal registra un ajuste de -$659 millones, después de una ejecución del 7,4 % en la vigencia anterior. Estos datos muestran una reconfiguración presupuestal que responde a los niveles de ejecución observados en áreas clave de intervención.</w:t>
      </w:r>
    </w:p>
    <w:p w:rsidR="00743DA6" w:rsidRDefault="00743DA6">
      <w:pPr>
        <w:spacing w:before="240" w:after="240" w:line="259" w:lineRule="auto"/>
        <w:jc w:val="both"/>
        <w:rPr>
          <w:sz w:val="22"/>
          <w:szCs w:val="22"/>
        </w:rPr>
      </w:pPr>
    </w:p>
    <w:p w:rsidR="00743DA6" w:rsidRDefault="00D95D19">
      <w:pPr>
        <w:spacing w:before="240" w:after="240" w:line="259" w:lineRule="auto"/>
        <w:jc w:val="both"/>
        <w:rPr>
          <w:b/>
          <w:bCs/>
          <w:sz w:val="22"/>
          <w:szCs w:val="22"/>
        </w:rPr>
      </w:pPr>
      <w:r>
        <w:rPr>
          <w:sz w:val="22"/>
          <w:szCs w:val="22"/>
        </w:rPr>
        <w:t>En el componente administrativo, también se realizan ajustes significativos. La línea de comunicaciones disminuye en -$985 millones con una ejecución del 33 %, mientras que el fortalecimiento tecnológico se reduce en -$548 millones, tras registrar una ejecución del 32 % en 2025. Estos recortes reorganizan la disponibilidad de recursos en actividades de apoyo estratégico, en correspondencia con el desempeño financiero reportado para la vigencia previa.</w:t>
      </w:r>
    </w:p>
    <w:p w:rsidR="00743DA6" w:rsidRDefault="00D95D19">
      <w:pPr>
        <w:spacing w:line="259" w:lineRule="auto"/>
        <w:rPr>
          <w:b/>
          <w:bCs/>
          <w:sz w:val="22"/>
          <w:szCs w:val="22"/>
        </w:rPr>
      </w:pPr>
      <w:r>
        <w:rPr>
          <w:b/>
          <w:bCs/>
          <w:sz w:val="22"/>
          <w:szCs w:val="22"/>
        </w:rPr>
        <w:t>Actividades que presentan aumento presupuestal</w:t>
      </w:r>
    </w:p>
    <w:p w:rsidR="00743DA6" w:rsidRDefault="00D95D19">
      <w:pPr>
        <w:widowControl w:val="0"/>
        <w:spacing w:before="240" w:after="240" w:line="276" w:lineRule="auto"/>
        <w:ind w:right="62"/>
        <w:jc w:val="center"/>
        <w:rPr>
          <w:b/>
          <w:bCs/>
        </w:rPr>
      </w:pPr>
      <w:r>
        <w:rPr>
          <w:b/>
          <w:bCs/>
          <w:sz w:val="22"/>
          <w:szCs w:val="22"/>
        </w:rPr>
        <w:t>Tabla 20: Comparativo 2025-2026 por Actividades del IDPYBA que presentan aumentos presupuestales</w:t>
      </w:r>
    </w:p>
    <w:sdt>
      <w:sdtPr>
        <w:rPr>
          <w:rFonts w:ascii="Arial" w:eastAsia="Arial" w:hAnsi="Arial" w:cs="Arial"/>
          <w:sz w:val="24"/>
          <w:szCs w:val="24"/>
          <w:lang w:val="es" w:eastAsia="es-CO"/>
        </w:rPr>
        <w:tag w:val="goog_rdk_153"/>
        <w:id w:val="1809009130"/>
        <w:lock w:val="contentLocked"/>
      </w:sdtPr>
      <w:sdtEndPr/>
      <w:sdtContent>
        <w:tbl>
          <w:tblPr>
            <w:tblStyle w:val="affffff0"/>
            <w:tblW w:w="8838" w:type="dxa"/>
            <w:tblBorders>
              <w:top w:val="nil"/>
              <w:left w:val="nil"/>
              <w:bottom w:val="nil"/>
              <w:right w:val="nil"/>
              <w:insideH w:val="nil"/>
              <w:insideV w:val="nil"/>
            </w:tblBorders>
            <w:tblLayout w:type="fixed"/>
            <w:tblLook w:val="0600" w:firstRow="0" w:lastRow="0" w:firstColumn="0" w:lastColumn="0" w:noHBand="1" w:noVBand="1"/>
          </w:tblPr>
          <w:tblGrid>
            <w:gridCol w:w="1813"/>
            <w:gridCol w:w="1405"/>
            <w:gridCol w:w="1405"/>
            <w:gridCol w:w="1405"/>
            <w:gridCol w:w="1405"/>
            <w:gridCol w:w="1405"/>
          </w:tblGrid>
          <w:tr w:rsidR="00743DA6">
            <w:trPr>
              <w:trHeight w:val="525"/>
            </w:trPr>
            <w:sdt>
              <w:sdtPr>
                <w:rPr>
                  <w:rFonts w:ascii="Arial" w:eastAsia="Arial" w:hAnsi="Arial" w:cs="Arial"/>
                  <w:sz w:val="24"/>
                  <w:szCs w:val="24"/>
                  <w:lang w:val="es" w:eastAsia="es-CO"/>
                </w:rPr>
                <w:tag w:val="goog_rdk_99"/>
                <w:id w:val="177306331"/>
                <w:lock w:val="contentLocked"/>
              </w:sdtPr>
              <w:sdtEndPr>
                <w:rPr>
                  <w:rFonts w:ascii="Calibri" w:eastAsia="Calibri" w:hAnsi="Calibri" w:cs="Calibri"/>
                  <w:sz w:val="22"/>
                  <w:szCs w:val="22"/>
                  <w:lang w:val="en-US" w:eastAsia="en-US"/>
                </w:rPr>
              </w:sdtEndPr>
              <w:sdtContent>
                <w:tc>
                  <w:tcPr>
                    <w:tcW w:w="1812" w:type="dxa"/>
                    <w:tcBorders>
                      <w:top w:val="single" w:sz="8" w:space="0" w:color="000000"/>
                      <w:left w:val="single" w:sz="8" w:space="0" w:color="000000"/>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NOMBRE DE LA ACTIVIDAD</w:t>
                    </w:r>
                  </w:p>
                </w:tc>
              </w:sdtContent>
            </w:sdt>
            <w:sdt>
              <w:sdtPr>
                <w:tag w:val="goog_rdk_100"/>
                <w:id w:val="1994395108"/>
                <w:lock w:val="contentLocked"/>
              </w:sdtPr>
              <w:sdtEndPr/>
              <w:sdtContent>
                <w:tc>
                  <w:tcPr>
                    <w:tcW w:w="140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2025</w:t>
                    </w:r>
                  </w:p>
                </w:tc>
              </w:sdtContent>
            </w:sdt>
            <w:sdt>
              <w:sdtPr>
                <w:tag w:val="goog_rdk_101"/>
                <w:id w:val="-74801377"/>
                <w:lock w:val="contentLocked"/>
              </w:sdtPr>
              <w:sdtEndPr/>
              <w:sdtContent>
                <w:tc>
                  <w:tcPr>
                    <w:tcW w:w="140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CONTRATADO 2025</w:t>
                    </w:r>
                  </w:p>
                </w:tc>
              </w:sdtContent>
            </w:sdt>
            <w:sdt>
              <w:sdtPr>
                <w:tag w:val="goog_rdk_102"/>
                <w:id w:val="2054016877"/>
                <w:lock w:val="contentLocked"/>
              </w:sdtPr>
              <w:sdtEndPr/>
              <w:sdtContent>
                <w:tc>
                  <w:tcPr>
                    <w:tcW w:w="140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GIRADO 2025</w:t>
                    </w:r>
                  </w:p>
                </w:tc>
              </w:sdtContent>
            </w:sdt>
            <w:sdt>
              <w:sdtPr>
                <w:tag w:val="goog_rdk_103"/>
                <w:id w:val="109333074"/>
                <w:lock w:val="contentLocked"/>
              </w:sdtPr>
              <w:sdtEndPr/>
              <w:sdtContent>
                <w:tc>
                  <w:tcPr>
                    <w:tcW w:w="140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2026</w:t>
                    </w:r>
                  </w:p>
                </w:tc>
              </w:sdtContent>
            </w:sdt>
            <w:sdt>
              <w:sdtPr>
                <w:tag w:val="goog_rdk_104"/>
                <w:id w:val="-766152387"/>
                <w:lock w:val="contentLocked"/>
              </w:sdtPr>
              <w:sdtEndPr/>
              <w:sdtContent>
                <w:tc>
                  <w:tcPr>
                    <w:tcW w:w="140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DIFERENCIA 2025 - 2026</w:t>
                    </w:r>
                  </w:p>
                </w:tc>
              </w:sdtContent>
            </w:sdt>
          </w:tr>
          <w:tr w:rsidR="00743DA6">
            <w:trPr>
              <w:trHeight w:val="2325"/>
            </w:trPr>
            <w:sdt>
              <w:sdtPr>
                <w:tag w:val="goog_rdk_105"/>
                <w:id w:val="1486658227"/>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Implementar 1 Estrategia(s) de participación y movilización ciudadana para la apropiación social del conocimiento en protección y bienestar animal en el Distrito Capital.</w:t>
                    </w:r>
                  </w:p>
                </w:tc>
              </w:sdtContent>
            </w:sdt>
            <w:sdt>
              <w:sdtPr>
                <w:tag w:val="goog_rdk_106"/>
                <w:id w:val="155714603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$ 1,214</w:t>
                    </w:r>
                  </w:p>
                </w:tc>
              </w:sdtContent>
            </w:sdt>
            <w:sdt>
              <w:sdtPr>
                <w:tag w:val="goog_rdk_107"/>
                <w:id w:val="279907967"/>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$ 940</w:t>
                    </w:r>
                  </w:p>
                </w:tc>
              </w:sdtContent>
            </w:sdt>
            <w:sdt>
              <w:sdtPr>
                <w:tag w:val="goog_rdk_108"/>
                <w:id w:val="-173580213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$ 387</w:t>
                    </w:r>
                  </w:p>
                </w:tc>
              </w:sdtContent>
            </w:sdt>
            <w:sdt>
              <w:sdtPr>
                <w:tag w:val="goog_rdk_109"/>
                <w:id w:val="199774789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$ 1,647</w:t>
                    </w:r>
                  </w:p>
                </w:tc>
              </w:sdtContent>
            </w:sdt>
            <w:sdt>
              <w:sdtPr>
                <w:tag w:val="goog_rdk_110"/>
                <w:id w:val="101061827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$ 433</w:t>
                    </w:r>
                  </w:p>
                </w:tc>
              </w:sdtContent>
            </w:sdt>
          </w:tr>
          <w:tr w:rsidR="00743DA6">
            <w:trPr>
              <w:trHeight w:val="3000"/>
            </w:trPr>
            <w:sdt>
              <w:sdtPr>
                <w:tag w:val="goog_rdk_111"/>
                <w:id w:val="-1707254819"/>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Involucrar 50000 Persona(s) a las acciones educativas en protección y bienestar animal para la transformación cultural y la convivencia armónica entre animales humanos y no humanos en Bogotá.</w:t>
                    </w:r>
                  </w:p>
                </w:tc>
              </w:sdtContent>
            </w:sdt>
            <w:sdt>
              <w:sdtPr>
                <w:tag w:val="goog_rdk_112"/>
                <w:id w:val="-9116288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$ 1,412</w:t>
                    </w:r>
                  </w:p>
                </w:tc>
              </w:sdtContent>
            </w:sdt>
            <w:sdt>
              <w:sdtPr>
                <w:tag w:val="goog_rdk_113"/>
                <w:id w:val="1600335309"/>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$ 1,277</w:t>
                    </w:r>
                  </w:p>
                </w:tc>
              </w:sdtContent>
            </w:sdt>
            <w:sdt>
              <w:sdtPr>
                <w:tag w:val="goog_rdk_114"/>
                <w:id w:val="2080213891"/>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$ 479</w:t>
                    </w:r>
                  </w:p>
                </w:tc>
              </w:sdtContent>
            </w:sdt>
            <w:sdt>
              <w:sdtPr>
                <w:tag w:val="goog_rdk_115"/>
                <w:id w:val="50042041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$ 1,833</w:t>
                    </w:r>
                  </w:p>
                </w:tc>
              </w:sdtContent>
            </w:sdt>
            <w:sdt>
              <w:sdtPr>
                <w:tag w:val="goog_rdk_116"/>
                <w:id w:val="90399600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$ 421</w:t>
                    </w:r>
                  </w:p>
                </w:tc>
              </w:sdtContent>
            </w:sdt>
          </w:tr>
          <w:tr w:rsidR="00743DA6">
            <w:trPr>
              <w:trHeight w:val="1650"/>
            </w:trPr>
            <w:sdt>
              <w:sdtPr>
                <w:tag w:val="goog_rdk_117"/>
                <w:id w:val="-959196403"/>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Generar 14 Reporte(s) de análisis de los indicadores de la Política Publica en PYBA para la toma de decisiones</w:t>
                    </w:r>
                  </w:p>
                </w:tc>
              </w:sdtContent>
            </w:sdt>
            <w:sdt>
              <w:sdtPr>
                <w:tag w:val="goog_rdk_118"/>
                <w:id w:val="-209452358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$ 211</w:t>
                    </w:r>
                  </w:p>
                </w:tc>
              </w:sdtContent>
            </w:sdt>
            <w:sdt>
              <w:sdtPr>
                <w:tag w:val="goog_rdk_119"/>
                <w:id w:val="-188304568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$ 161</w:t>
                    </w:r>
                  </w:p>
                </w:tc>
              </w:sdtContent>
            </w:sdt>
            <w:sdt>
              <w:sdtPr>
                <w:tag w:val="goog_rdk_120"/>
                <w:id w:val="11523390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$ 108</w:t>
                    </w:r>
                  </w:p>
                </w:tc>
              </w:sdtContent>
            </w:sdt>
            <w:sdt>
              <w:sdtPr>
                <w:tag w:val="goog_rdk_121"/>
                <w:id w:val="1247473391"/>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$ 239</w:t>
                    </w:r>
                  </w:p>
                </w:tc>
              </w:sdtContent>
            </w:sdt>
            <w:sdt>
              <w:sdtPr>
                <w:tag w:val="goog_rdk_122"/>
                <w:id w:val="-41120890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w:t>
                    </w:r>
                  </w:p>
                </w:tc>
              </w:sdtContent>
            </w:sdt>
          </w:tr>
          <w:tr w:rsidR="00743DA6">
            <w:trPr>
              <w:trHeight w:val="1875"/>
            </w:trPr>
            <w:sdt>
              <w:sdtPr>
                <w:tag w:val="goog_rdk_123"/>
                <w:id w:val="-1674392373"/>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Establecer 4 Alianza(s) estratégicas para el fortalecimiento de la investigación y la gestión de conocimiento en PYBA</w:t>
                    </w:r>
                  </w:p>
                </w:tc>
              </w:sdtContent>
            </w:sdt>
            <w:sdt>
              <w:sdtPr>
                <w:tag w:val="goog_rdk_124"/>
                <w:id w:val="123024235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$ 154</w:t>
                    </w:r>
                  </w:p>
                </w:tc>
              </w:sdtContent>
            </w:sdt>
            <w:sdt>
              <w:sdtPr>
                <w:tag w:val="goog_rdk_125"/>
                <w:id w:val="101750734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$ 55</w:t>
                    </w:r>
                  </w:p>
                </w:tc>
              </w:sdtContent>
            </w:sdt>
            <w:sdt>
              <w:sdtPr>
                <w:tag w:val="goog_rdk_126"/>
                <w:id w:val="-115770597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w:t>
                    </w:r>
                  </w:p>
                </w:tc>
              </w:sdtContent>
            </w:sdt>
            <w:sdt>
              <w:sdtPr>
                <w:tag w:val="goog_rdk_127"/>
                <w:id w:val="100662713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$ 231</w:t>
                    </w:r>
                  </w:p>
                </w:tc>
              </w:sdtContent>
            </w:sdt>
            <w:sdt>
              <w:sdtPr>
                <w:tag w:val="goog_rdk_128"/>
                <w:id w:val="52430456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$ 77</w:t>
                    </w:r>
                  </w:p>
                </w:tc>
              </w:sdtContent>
            </w:sdt>
          </w:tr>
          <w:tr w:rsidR="00743DA6">
            <w:trPr>
              <w:trHeight w:val="1425"/>
            </w:trPr>
            <w:sdt>
              <w:sdtPr>
                <w:tag w:val="goog_rdk_129"/>
                <w:id w:val="564814123"/>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5 - Implementar 1 Batería(s) de herramientas para el fortalecimiento de la gestión del conocimiento</w:t>
                    </w:r>
                  </w:p>
                </w:tc>
              </w:sdtContent>
            </w:sdt>
            <w:sdt>
              <w:sdtPr>
                <w:tag w:val="goog_rdk_130"/>
                <w:id w:val="1327667073"/>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$ 220</w:t>
                    </w:r>
                  </w:p>
                </w:tc>
              </w:sdtContent>
            </w:sdt>
            <w:sdt>
              <w:sdtPr>
                <w:tag w:val="goog_rdk_131"/>
                <w:id w:val="-96850430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$ 161</w:t>
                    </w:r>
                  </w:p>
                </w:tc>
              </w:sdtContent>
            </w:sdt>
            <w:sdt>
              <w:sdtPr>
                <w:tag w:val="goog_rdk_132"/>
                <w:id w:val="-17822124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$ 77</w:t>
                    </w:r>
                  </w:p>
                </w:tc>
              </w:sdtContent>
            </w:sdt>
            <w:sdt>
              <w:sdtPr>
                <w:tag w:val="goog_rdk_133"/>
                <w:id w:val="59295584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$ 266</w:t>
                    </w:r>
                  </w:p>
                </w:tc>
              </w:sdtContent>
            </w:sdt>
            <w:sdt>
              <w:sdtPr>
                <w:tag w:val="goog_rdk_134"/>
                <w:id w:val="194321251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w:t>
                    </w:r>
                  </w:p>
                </w:tc>
              </w:sdtContent>
            </w:sdt>
          </w:tr>
          <w:tr w:rsidR="00743DA6">
            <w:trPr>
              <w:trHeight w:val="2325"/>
            </w:trPr>
            <w:sdt>
              <w:sdtPr>
                <w:tag w:val="goog_rdk_135"/>
                <w:id w:val="-1446059443"/>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Realizar 1 Documento(s) de actualización del diagnóstico de cargas laborales y estructuración organizacional que incluya propuesta de viabilidad en la implementación.</w:t>
                    </w:r>
                  </w:p>
                </w:tc>
              </w:sdtContent>
            </w:sdt>
            <w:sdt>
              <w:sdtPr>
                <w:tag w:val="goog_rdk_136"/>
                <w:id w:val="168361644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$ 448</w:t>
                    </w:r>
                  </w:p>
                </w:tc>
              </w:sdtContent>
            </w:sdt>
            <w:sdt>
              <w:sdtPr>
                <w:tag w:val="goog_rdk_137"/>
                <w:id w:val="-46525797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$ 66</w:t>
                    </w:r>
                  </w:p>
                </w:tc>
              </w:sdtContent>
            </w:sdt>
            <w:sdt>
              <w:sdtPr>
                <w:tag w:val="goog_rdk_138"/>
                <w:id w:val="32931125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w:t>
                    </w:r>
                  </w:p>
                </w:tc>
              </w:sdtContent>
            </w:sdt>
            <w:sdt>
              <w:sdtPr>
                <w:tag w:val="goog_rdk_139"/>
                <w:id w:val="1726289505"/>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$ 719</w:t>
                    </w:r>
                  </w:p>
                </w:tc>
              </w:sdtContent>
            </w:sdt>
            <w:sdt>
              <w:sdtPr>
                <w:tag w:val="goog_rdk_140"/>
                <w:id w:val="1015094814"/>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$ 271</w:t>
                    </w:r>
                  </w:p>
                </w:tc>
              </w:sdtContent>
            </w:sdt>
          </w:tr>
          <w:tr w:rsidR="00743DA6">
            <w:trPr>
              <w:trHeight w:val="1650"/>
            </w:trPr>
            <w:sdt>
              <w:sdtPr>
                <w:tag w:val="goog_rdk_141"/>
                <w:id w:val="376521229"/>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6 - Realizar 100 Porciento de las intervenciones en los procesos de apoyo identificados al interior de la entidad</w:t>
                    </w:r>
                  </w:p>
                </w:tc>
              </w:sdtContent>
            </w:sdt>
            <w:sdt>
              <w:sdtPr>
                <w:tag w:val="goog_rdk_142"/>
                <w:id w:val="299066977"/>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$ 2,400</w:t>
                    </w:r>
                  </w:p>
                </w:tc>
              </w:sdtContent>
            </w:sdt>
            <w:sdt>
              <w:sdtPr>
                <w:tag w:val="goog_rdk_143"/>
                <w:id w:val="92672169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$ 2,227</w:t>
                    </w:r>
                  </w:p>
                </w:tc>
              </w:sdtContent>
            </w:sdt>
            <w:sdt>
              <w:sdtPr>
                <w:tag w:val="goog_rdk_144"/>
                <w:id w:val="2604646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$ 1,256</w:t>
                    </w:r>
                  </w:p>
                </w:tc>
              </w:sdtContent>
            </w:sdt>
            <w:sdt>
              <w:sdtPr>
                <w:tag w:val="goog_rdk_145"/>
                <w:id w:val="628666268"/>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$ 2,411</w:t>
                    </w:r>
                  </w:p>
                </w:tc>
              </w:sdtContent>
            </w:sdt>
            <w:sdt>
              <w:sdtPr>
                <w:tag w:val="goog_rdk_146"/>
                <w:id w:val="205106553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w:t>
                    </w:r>
                  </w:p>
                </w:tc>
              </w:sdtContent>
            </w:sdt>
          </w:tr>
          <w:tr w:rsidR="00743DA6">
            <w:trPr>
              <w:trHeight w:val="1875"/>
            </w:trPr>
            <w:sdt>
              <w:sdtPr>
                <w:tag w:val="goog_rdk_147"/>
                <w:id w:val="250825544"/>
                <w:lock w:val="contentLocked"/>
              </w:sdtPr>
              <w:sdtEndPr/>
              <w:sdtContent>
                <w:tc>
                  <w:tcPr>
                    <w:tcW w:w="181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8 - Realizar 100 Porciento del plan de mantenimiento correctivo- preventivo, que se requiera en la entidad para las diferentes sedes</w:t>
                    </w:r>
                  </w:p>
                </w:tc>
              </w:sdtContent>
            </w:sdt>
            <w:sdt>
              <w:sdtPr>
                <w:tag w:val="goog_rdk_148"/>
                <w:id w:val="-1161774640"/>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$ 818</w:t>
                    </w:r>
                  </w:p>
                </w:tc>
              </w:sdtContent>
            </w:sdt>
            <w:sdt>
              <w:sdtPr>
                <w:tag w:val="goog_rdk_149"/>
                <w:id w:val="348953561"/>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$ 149</w:t>
                    </w:r>
                  </w:p>
                </w:tc>
              </w:sdtContent>
            </w:sdt>
            <w:sdt>
              <w:sdtPr>
                <w:tag w:val="goog_rdk_150"/>
                <w:id w:val="1712847406"/>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$ 90</w:t>
                    </w:r>
                  </w:p>
                </w:tc>
              </w:sdtContent>
            </w:sdt>
            <w:sdt>
              <w:sdtPr>
                <w:tag w:val="goog_rdk_151"/>
                <w:id w:val="1188933152"/>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$ 894</w:t>
                    </w:r>
                  </w:p>
                </w:tc>
              </w:sdtContent>
            </w:sdt>
            <w:sdt>
              <w:sdtPr>
                <w:tag w:val="goog_rdk_152"/>
                <w:id w:val="1129176459"/>
                <w:lock w:val="contentLocked"/>
              </w:sdtPr>
              <w:sdtEndPr/>
              <w:sdtContent>
                <w:tc>
                  <w:tcPr>
                    <w:tcW w:w="140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$ 76</w:t>
                    </w:r>
                  </w:p>
                </w:tc>
              </w:sdtContent>
            </w:sdt>
          </w:tr>
        </w:tbl>
      </w:sdtContent>
    </w:sdt>
    <w:p w:rsidR="00743DA6" w:rsidRDefault="00D95D19">
      <w:pPr>
        <w:spacing w:line="276" w:lineRule="auto"/>
        <w:jc w:val="both"/>
      </w:pP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line="259" w:lineRule="auto"/>
        <w:rPr>
          <w:b/>
          <w:bCs/>
          <w:sz w:val="22"/>
          <w:szCs w:val="22"/>
        </w:rPr>
      </w:pPr>
      <w:r>
        <w:rPr>
          <w:b/>
          <w:bCs/>
          <w:sz w:val="22"/>
          <w:szCs w:val="22"/>
        </w:rPr>
        <w:t xml:space="preserve">Actividades con Aumento Presupuestal </w:t>
      </w:r>
    </w:p>
    <w:p w:rsidR="00743DA6" w:rsidRDefault="00D95D19">
      <w:pPr>
        <w:spacing w:before="240" w:after="240" w:line="259" w:lineRule="auto"/>
        <w:jc w:val="both"/>
        <w:rPr>
          <w:sz w:val="22"/>
          <w:szCs w:val="22"/>
        </w:rPr>
      </w:pPr>
      <w:r>
        <w:rPr>
          <w:sz w:val="22"/>
          <w:szCs w:val="22"/>
        </w:rPr>
        <w:t>El presupuesto 2026 introduce una reorientación hacia actividades de educación y participación ciudadana. El incremento de $433 millones en “Implementar estrategias de participación y movilización ciudadana” busca ampliar la apropiación social del bienestar animal, pese a que en 2025 esta línea alcanzó una ejecución del 31,8 %. De igual manera, la actividad “Involucrar a 50.000 personas en acciones educativas” recibe un aumento de +$421 millones, luego de registrar una ejecución del 33,9 %, lo que evidencia una apuesta institucional por reforzar el componente preventivo y formativo. A esto se suma un ajuste de $271 millones para la actualización del diagnóstico de cargas laborales, un rubro administrativo que tuvo una ejecución del 4,7 %, orientado a revisar la estructura interna de la entidad.</w:t>
      </w:r>
    </w:p>
    <w:p w:rsidR="00743DA6" w:rsidRDefault="00D95D19">
      <w:pPr>
        <w:spacing w:before="240" w:after="240" w:line="259" w:lineRule="auto"/>
        <w:jc w:val="both"/>
        <w:rPr>
          <w:sz w:val="22"/>
          <w:szCs w:val="22"/>
        </w:rPr>
      </w:pPr>
      <w:r>
        <w:rPr>
          <w:sz w:val="22"/>
          <w:szCs w:val="22"/>
        </w:rPr>
        <w:t>En contraste, actividades relacionadas con la atención veterinaria directa, esterilizaciones, urgencias y adecuación de infraestructura, registran reducciones asociadas a los niveles de ejecución de 2025. Esta redistribución concentra recursos en componentes educativos, participativos y administrativos, dando lugar a un cambio en la estructura de prioridades para 2026. La medida refuerza ámbitos estratégicos para la transformación cultural y la gestión organizacional, mientras ajusta las asignaciones en áreas operativas que requieren mayores capacidades de implementación para atender la demanda existente.</w:t>
      </w:r>
    </w:p>
    <w:p w:rsidR="00743DA6" w:rsidRDefault="00D95D19">
      <w:pPr>
        <w:spacing w:before="240" w:after="240"/>
        <w:jc w:val="both"/>
        <w:rPr>
          <w:b/>
          <w:bCs/>
          <w:sz w:val="22"/>
          <w:szCs w:val="22"/>
        </w:rPr>
      </w:pPr>
      <w:r>
        <w:rPr>
          <w:b/>
          <w:bCs/>
          <w:sz w:val="22"/>
          <w:szCs w:val="22"/>
        </w:rPr>
        <w:t>Instituto Distrital de Gestión del Riesgo y Cambio Climático - IDIGER</w:t>
      </w:r>
    </w:p>
    <w:p w:rsidR="00743DA6" w:rsidRDefault="00D95D19">
      <w:pPr>
        <w:spacing w:before="240" w:after="240"/>
        <w:jc w:val="both"/>
        <w:rPr>
          <w:sz w:val="22"/>
          <w:szCs w:val="22"/>
        </w:rPr>
      </w:pPr>
      <w:r>
        <w:rPr>
          <w:sz w:val="22"/>
          <w:szCs w:val="22"/>
        </w:rPr>
        <w:t>El examen del comportamiento presupuestal del IDIGER entre 2022 y 2026 permite identificar una tendencia que combina expansión gradual de la apropiación con tensiones en la ejecución, particularmente visibles en 2025. Aunque este patrón aparece en distintos organismos distritales, en el caso del Instituto adquiere un significado distinto: cada variación se traduce en mayor o menor capacidad de anticipación frente a amenazas, vulnerabilidades y emergencias, razón por la cual su lectura requiere situarse en la arquitectura más amplia de la gestión del riesgo en Bogotá.</w:t>
      </w:r>
    </w:p>
    <w:p w:rsidR="00743DA6" w:rsidRDefault="00D95D19">
      <w:pPr>
        <w:spacing w:before="240" w:after="240"/>
        <w:jc w:val="both"/>
        <w:rPr>
          <w:sz w:val="22"/>
          <w:szCs w:val="22"/>
        </w:rPr>
      </w:pPr>
      <w:r>
        <w:rPr>
          <w:sz w:val="22"/>
          <w:szCs w:val="22"/>
        </w:rPr>
        <w:t>Tal como se observa, el incremento del presupuesto de funcionamiento, que pasa de valores cercanos a los $20.000 millones en 2022 a un nivel proyectado que supera los $30.000 millones en 2026, refleja la presión acumulada de sostener sistemas de monitoreo, operación 24/7, equipos técnicos especializados, protocolos de alerta temprana y servicios periciales que no pueden interrumpirse sin afectar directamente la seguridad de miles de habitantes. Esa evolución no obedece a una ampliación burocrática, sino al costo real de mantener capacidades mínimas de vigilancia, modelación, atención y análisis, en un contexto de incremento sostenido de eventos hidrometeorológicos y fallos en laderas.</w:t>
      </w:r>
    </w:p>
    <w:p w:rsidR="00743DA6" w:rsidRDefault="00D95D19">
      <w:pPr>
        <w:spacing w:before="240" w:after="240"/>
        <w:jc w:val="center"/>
        <w:rPr>
          <w:b/>
          <w:bCs/>
          <w:sz w:val="22"/>
          <w:szCs w:val="22"/>
        </w:rPr>
      </w:pPr>
      <w:r>
        <w:rPr>
          <w:b/>
          <w:bCs/>
          <w:sz w:val="22"/>
          <w:szCs w:val="22"/>
        </w:rPr>
        <w:t>Evolución del presupuesto de Funcionamiento IDIGER (2022-2026)</w:t>
      </w:r>
    </w:p>
    <w:p w:rsidR="00743DA6" w:rsidRDefault="00D95D19">
      <w:pPr>
        <w:spacing w:before="240" w:after="240"/>
        <w:jc w:val="both"/>
        <w:rPr>
          <w:sz w:val="18"/>
          <w:szCs w:val="18"/>
        </w:rPr>
      </w:pPr>
      <w:r>
        <w:rPr>
          <w:noProof/>
          <w:sz w:val="22"/>
          <w:szCs w:val="22"/>
          <w:lang w:val="es-CO"/>
        </w:rPr>
        <w:drawing>
          <wp:inline distT="114300" distB="114300" distL="114300" distR="114300">
            <wp:extent cx="5612130" cy="3035300"/>
            <wp:effectExtent l="0" t="0" r="0" b="0"/>
            <wp:docPr id="2127399615"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25"/>
                    <a:srcRect/>
                    <a:stretch>
                      <a:fillRect/>
                    </a:stretch>
                  </pic:blipFill>
                  <pic:spPr>
                    <a:xfrm>
                      <a:off x="0" y="0"/>
                      <a:ext cx="5612130" cy="3035300"/>
                    </a:xfrm>
                    <a:prstGeom prst="rect">
                      <a:avLst/>
                    </a:prstGeom>
                    <a:ln/>
                  </pic:spPr>
                </pic:pic>
              </a:graphicData>
            </a:graphic>
          </wp:inline>
        </w:drawing>
      </w:r>
      <w:r>
        <w:rPr>
          <w:b/>
          <w:bCs/>
          <w:sz w:val="18"/>
          <w:szCs w:val="18"/>
        </w:rPr>
        <w:t xml:space="preserve">Fuente: </w:t>
      </w:r>
      <w:r>
        <w:rPr>
          <w:sz w:val="18"/>
          <w:szCs w:val="18"/>
        </w:rPr>
        <w:t xml:space="preserve">Elaboración propia (2025) a partir de información suministrada por la Secretaría Distrital de Hacienda. </w:t>
      </w:r>
      <w:r>
        <w:rPr>
          <w:sz w:val="18"/>
          <w:szCs w:val="18"/>
        </w:rPr>
        <w:br/>
      </w:r>
    </w:p>
    <w:p w:rsidR="00743DA6" w:rsidRDefault="00D95D19">
      <w:pPr>
        <w:spacing w:before="240" w:after="240"/>
        <w:jc w:val="both"/>
        <w:rPr>
          <w:sz w:val="22"/>
          <w:szCs w:val="22"/>
        </w:rPr>
      </w:pPr>
      <w:r>
        <w:rPr>
          <w:sz w:val="22"/>
          <w:szCs w:val="22"/>
        </w:rPr>
        <w:t>Ahora bien, cuando se observa la trayectoria de los compromisos, el panorama se matiza. La brecha entre apropiación y ejecución se amplía en 2025, lo cual sugiere dificultades operativas que no necesariamente son atribuibles de forma exclusiva al Instituto. Cambios en reglas de contratación para servicios especializados, ajustes intersectoriales, reformas en protocolos de interventoría y la dependencia de estudios previos con alta carga técnica pueden dilatar decisiones financieras incluso teniendo apropiación disponible. El problema, por tanto, no es de voluntad institucional, sino de la secuencia administrativa que condiciona el despliegue de los proyectos del IDIGER.</w:t>
      </w:r>
    </w:p>
    <w:p w:rsidR="00743DA6" w:rsidRDefault="00D95D19">
      <w:pPr>
        <w:spacing w:before="240" w:after="240"/>
        <w:jc w:val="both"/>
        <w:rPr>
          <w:sz w:val="22"/>
          <w:szCs w:val="22"/>
        </w:rPr>
      </w:pPr>
      <w:r>
        <w:rPr>
          <w:sz w:val="22"/>
          <w:szCs w:val="22"/>
        </w:rPr>
        <w:t>La inversión directa, por su parte, revela una trayectoria más inestable. Tras una caída marcada entre 2022 y 2023 y un repunte entre 2024 y 2025, la proyección 2026 muestra una corrección parcial pero no resuelve la volatilidad observada. Este comportamiento es comprensible si se considera que muchos de los proyectos del Instituto dependen de:</w:t>
      </w:r>
    </w:p>
    <w:p w:rsidR="00743DA6" w:rsidRDefault="00D95D19">
      <w:pPr>
        <w:numPr>
          <w:ilvl w:val="0"/>
          <w:numId w:val="53"/>
        </w:numPr>
        <w:spacing w:before="240"/>
        <w:jc w:val="both"/>
        <w:rPr>
          <w:sz w:val="22"/>
          <w:szCs w:val="22"/>
        </w:rPr>
      </w:pPr>
      <w:r>
        <w:rPr>
          <w:sz w:val="22"/>
          <w:szCs w:val="22"/>
        </w:rPr>
        <w:t>Estudios de amenaza y riesgo que toman varios meses.</w:t>
      </w:r>
      <w:r>
        <w:rPr>
          <w:sz w:val="22"/>
          <w:szCs w:val="22"/>
        </w:rPr>
        <w:br/>
      </w:r>
    </w:p>
    <w:p w:rsidR="00743DA6" w:rsidRDefault="00D95D19">
      <w:pPr>
        <w:numPr>
          <w:ilvl w:val="0"/>
          <w:numId w:val="53"/>
        </w:numPr>
        <w:jc w:val="both"/>
        <w:rPr>
          <w:sz w:val="22"/>
          <w:szCs w:val="22"/>
        </w:rPr>
      </w:pPr>
      <w:r>
        <w:rPr>
          <w:sz w:val="22"/>
          <w:szCs w:val="22"/>
        </w:rPr>
        <w:t>Permisos y articulaciones con otras entidades.</w:t>
      </w:r>
      <w:r>
        <w:rPr>
          <w:sz w:val="22"/>
          <w:szCs w:val="22"/>
        </w:rPr>
        <w:br/>
      </w:r>
    </w:p>
    <w:p w:rsidR="00743DA6" w:rsidRDefault="00D95D19">
      <w:pPr>
        <w:numPr>
          <w:ilvl w:val="0"/>
          <w:numId w:val="53"/>
        </w:numPr>
        <w:jc w:val="both"/>
        <w:rPr>
          <w:sz w:val="22"/>
          <w:szCs w:val="22"/>
        </w:rPr>
      </w:pPr>
      <w:r>
        <w:rPr>
          <w:sz w:val="22"/>
          <w:szCs w:val="22"/>
        </w:rPr>
        <w:t>Tiempos de adjudicación de obras que involucran taludes, quebradas, canalizaciones y obras de mitigación.</w:t>
      </w:r>
      <w:r>
        <w:rPr>
          <w:sz w:val="22"/>
          <w:szCs w:val="22"/>
        </w:rPr>
        <w:br/>
      </w:r>
    </w:p>
    <w:p w:rsidR="00743DA6" w:rsidRDefault="00D95D19">
      <w:pPr>
        <w:numPr>
          <w:ilvl w:val="0"/>
          <w:numId w:val="53"/>
        </w:numPr>
        <w:spacing w:after="240"/>
        <w:jc w:val="both"/>
        <w:rPr>
          <w:sz w:val="22"/>
          <w:szCs w:val="22"/>
        </w:rPr>
      </w:pPr>
      <w:r>
        <w:rPr>
          <w:sz w:val="22"/>
          <w:szCs w:val="22"/>
        </w:rPr>
        <w:t>Variaciones climáticas que obligan a reprogramar intervenciones.</w:t>
      </w:r>
    </w:p>
    <w:p w:rsidR="00743DA6" w:rsidRDefault="00D95D19">
      <w:pPr>
        <w:spacing w:before="240" w:after="240"/>
        <w:ind w:left="720"/>
        <w:jc w:val="center"/>
        <w:rPr>
          <w:b/>
          <w:bCs/>
          <w:sz w:val="22"/>
          <w:szCs w:val="22"/>
        </w:rPr>
      </w:pPr>
      <w:r>
        <w:rPr>
          <w:b/>
          <w:bCs/>
          <w:sz w:val="22"/>
          <w:szCs w:val="22"/>
        </w:rPr>
        <w:t xml:space="preserve">Evolución de la Inversión Directa IDIGER (2022 - 2026) </w:t>
      </w:r>
    </w:p>
    <w:p w:rsidR="00743DA6" w:rsidRDefault="00743DA6">
      <w:pPr>
        <w:pBdr>
          <w:top w:val="nil"/>
          <w:left w:val="nil"/>
          <w:bottom w:val="nil"/>
          <w:right w:val="nil"/>
          <w:between w:val="nil"/>
        </w:pBdr>
        <w:rPr>
          <w:sz w:val="22"/>
          <w:szCs w:val="22"/>
        </w:rPr>
      </w:pPr>
    </w:p>
    <w:p w:rsidR="00743DA6" w:rsidRDefault="00D95D19">
      <w:pPr>
        <w:pBdr>
          <w:top w:val="nil"/>
          <w:left w:val="nil"/>
          <w:bottom w:val="nil"/>
          <w:right w:val="nil"/>
          <w:between w:val="nil"/>
        </w:pBdr>
        <w:jc w:val="both"/>
        <w:rPr>
          <w:sz w:val="22"/>
          <w:szCs w:val="22"/>
        </w:rPr>
      </w:pPr>
      <w:r>
        <w:rPr>
          <w:noProof/>
          <w:sz w:val="22"/>
          <w:szCs w:val="22"/>
          <w:lang w:val="es-CO"/>
        </w:rPr>
        <w:drawing>
          <wp:inline distT="114300" distB="114300" distL="114300" distR="114300">
            <wp:extent cx="5612130" cy="3035300"/>
            <wp:effectExtent l="0" t="0" r="0" b="0"/>
            <wp:docPr id="2127399616"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26"/>
                    <a:srcRect/>
                    <a:stretch>
                      <a:fillRect/>
                    </a:stretch>
                  </pic:blipFill>
                  <pic:spPr>
                    <a:xfrm>
                      <a:off x="0" y="0"/>
                      <a:ext cx="5612130" cy="3035300"/>
                    </a:xfrm>
                    <a:prstGeom prst="rect">
                      <a:avLst/>
                    </a:prstGeom>
                    <a:ln/>
                  </pic:spPr>
                </pic:pic>
              </a:graphicData>
            </a:graphic>
          </wp:inline>
        </w:drawing>
      </w:r>
    </w:p>
    <w:p w:rsidR="00743DA6" w:rsidRDefault="00D95D19">
      <w:pPr>
        <w:spacing w:before="240" w:after="240" w:line="276" w:lineRule="auto"/>
        <w:jc w:val="center"/>
        <w:rPr>
          <w:sz w:val="22"/>
          <w:szCs w:val="22"/>
        </w:rPr>
      </w:pPr>
      <w:r>
        <w:rPr>
          <w:b/>
          <w:bCs/>
          <w:sz w:val="18"/>
          <w:szCs w:val="18"/>
        </w:rPr>
        <w:t xml:space="preserve">Fuente: </w:t>
      </w:r>
      <w:r>
        <w:rPr>
          <w:sz w:val="18"/>
          <w:szCs w:val="18"/>
        </w:rPr>
        <w:t xml:space="preserve">Elaboración propia (2025) a partir de información suministrada por la Secretaría Distrital de Hacienda. </w:t>
      </w:r>
    </w:p>
    <w:p w:rsidR="00743DA6" w:rsidRDefault="00D95D19">
      <w:pPr>
        <w:spacing w:before="240" w:after="240"/>
        <w:jc w:val="both"/>
        <w:rPr>
          <w:sz w:val="22"/>
          <w:szCs w:val="22"/>
        </w:rPr>
      </w:pPr>
      <w:r>
        <w:rPr>
          <w:sz w:val="22"/>
          <w:szCs w:val="22"/>
        </w:rPr>
        <w:t>Las consecuencias de esa volatilidad son claras: incluso un incremento del presupuesto inicial no garantiza que el Instituto pueda cumplir con los hitos esperados si la ejecución no se acompaña de decisiones administrativas oportunas y una secuencia de contratación adecuada. Este es un punto central: el problema no está en la entidad, sino en la arquitectura de gobierno que condiciona sus tiempos, especialmente cuando se requiere celeridad para evitar daños mayores o costos sociales acumulados.</w:t>
      </w:r>
    </w:p>
    <w:p w:rsidR="00743DA6" w:rsidRDefault="00D95D19">
      <w:pPr>
        <w:spacing w:before="240" w:after="240"/>
        <w:jc w:val="both"/>
        <w:rPr>
          <w:sz w:val="22"/>
          <w:szCs w:val="22"/>
        </w:rPr>
      </w:pPr>
      <w:r>
        <w:rPr>
          <w:sz w:val="22"/>
          <w:szCs w:val="22"/>
        </w:rPr>
        <w:t>Por otro lado, la lectura agregada de los últimos cuatro años confirma un patrón que amerita atención especial en 2026. Mientras el funcionamiento crece para sostener capacidades críticas, la inversión presenta reducciones en algunos proyectos estratégicos que, de mantenerse, generarían impactos directos sobre la mitigación del riesgo, la estabilización de suelos, la reducción de vulnerabilidades y la implementación de obras prioritarias en zonas de alta exposición. En un Instituto cuya razón de existir es reducir el riesgo en origen, la caída o ralentización de estos proyectos equivale a aumentar el costo social futuro.</w:t>
      </w:r>
    </w:p>
    <w:p w:rsidR="00743DA6" w:rsidRDefault="00D95D19">
      <w:pPr>
        <w:spacing w:before="240" w:after="240"/>
        <w:jc w:val="both"/>
        <w:rPr>
          <w:sz w:val="22"/>
          <w:szCs w:val="22"/>
        </w:rPr>
      </w:pPr>
      <w:r>
        <w:rPr>
          <w:sz w:val="22"/>
          <w:szCs w:val="22"/>
        </w:rPr>
        <w:t>En esta perspectiva, la discusión presupuestal no puede separarse de los efectos territoriales: cuando el IDIGER no ejecuta, el costo lo paga la ciudad en forma de deslizamientos, inundaciones, fallas operacionales, sobrecarga de emergencias y mayor presión sobre comunidades ya vulnerables. La brecha de 2025 entre apropiación y compromisos en los proyectos de inversión anticipa precisamente ese riesgo: recursos disponibles que no se transforman en obras ni intervenciones en campo.</w:t>
      </w:r>
    </w:p>
    <w:p w:rsidR="00743DA6" w:rsidRDefault="00D95D19">
      <w:pPr>
        <w:spacing w:before="240" w:after="240"/>
        <w:jc w:val="both"/>
        <w:rPr>
          <w:sz w:val="22"/>
          <w:szCs w:val="22"/>
        </w:rPr>
      </w:pPr>
      <w:r>
        <w:rPr>
          <w:sz w:val="22"/>
          <w:szCs w:val="22"/>
        </w:rPr>
        <w:t xml:space="preserve">Por estas razones, el análisis de la tabla de proyectos de inversión, que se presenta a continuación, se vuelve determinante. Allí pueden observarse con precisión las líneas donde se concentran los rezagos, los proyectos que presentan deterioro entre 2025 y 2026 y aquellos que, pese a su relevancia estructural para el Plan Distrital de Desarrollo, reducen su programación justo cuando más se requieren. </w:t>
      </w:r>
    </w:p>
    <w:p w:rsidR="00743DA6" w:rsidRDefault="00D95D19">
      <w:pPr>
        <w:spacing w:before="240" w:after="240" w:line="276" w:lineRule="auto"/>
        <w:jc w:val="center"/>
        <w:rPr>
          <w:sz w:val="22"/>
          <w:szCs w:val="22"/>
        </w:rPr>
      </w:pPr>
      <w:r>
        <w:rPr>
          <w:b/>
          <w:bCs/>
          <w:sz w:val="22"/>
          <w:szCs w:val="22"/>
        </w:rPr>
        <w:t xml:space="preserve">Tabla 21. Programación Presupuestal Comparada del IDIGER Vigencia 2025 y Proyecto de Presupuesto 2026 </w:t>
      </w:r>
    </w:p>
    <w:tbl>
      <w:tblPr>
        <w:tblStyle w:val="affffff1"/>
        <w:tblW w:w="8820" w:type="dxa"/>
        <w:tblBorders>
          <w:top w:val="nil"/>
          <w:left w:val="nil"/>
          <w:bottom w:val="nil"/>
          <w:right w:val="nil"/>
          <w:insideH w:val="nil"/>
          <w:insideV w:val="nil"/>
        </w:tblBorders>
        <w:tblLayout w:type="fixed"/>
        <w:tblLook w:val="0600" w:firstRow="0" w:lastRow="0" w:firstColumn="0" w:lastColumn="0" w:noHBand="1" w:noVBand="1"/>
      </w:tblPr>
      <w:tblGrid>
        <w:gridCol w:w="2670"/>
        <w:gridCol w:w="1140"/>
        <w:gridCol w:w="1470"/>
        <w:gridCol w:w="1230"/>
        <w:gridCol w:w="1020"/>
        <w:gridCol w:w="1290"/>
      </w:tblGrid>
      <w:tr w:rsidR="00743DA6">
        <w:trPr>
          <w:trHeight w:val="1136"/>
        </w:trPr>
        <w:tc>
          <w:tcPr>
            <w:tcW w:w="267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both"/>
              <w:rPr>
                <w:rFonts w:ascii="Arial" w:eastAsia="Arial" w:hAnsi="Arial" w:cs="Arial"/>
                <w:sz w:val="16"/>
                <w:szCs w:val="16"/>
              </w:rPr>
            </w:pPr>
            <w:r>
              <w:rPr>
                <w:rFonts w:ascii="Arial" w:eastAsia="Arial" w:hAnsi="Arial" w:cs="Arial"/>
                <w:b/>
                <w:bCs/>
                <w:sz w:val="16"/>
                <w:szCs w:val="16"/>
              </w:rPr>
              <w:t xml:space="preserve"> PROYECTO DE INVERSIÓN </w:t>
            </w:r>
          </w:p>
        </w:tc>
        <w:tc>
          <w:tcPr>
            <w:tcW w:w="11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rFonts w:ascii="Arial" w:eastAsia="Arial" w:hAnsi="Arial" w:cs="Arial"/>
                <w:sz w:val="16"/>
                <w:szCs w:val="16"/>
              </w:rPr>
            </w:pPr>
            <w:r>
              <w:rPr>
                <w:rFonts w:ascii="Arial" w:eastAsia="Arial" w:hAnsi="Arial" w:cs="Arial"/>
                <w:b/>
                <w:bCs/>
                <w:sz w:val="16"/>
                <w:szCs w:val="16"/>
              </w:rPr>
              <w:t xml:space="preserve"> Suma de 2025 PROG </w:t>
            </w:r>
          </w:p>
        </w:tc>
        <w:tc>
          <w:tcPr>
            <w:tcW w:w="147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rFonts w:ascii="Arial" w:eastAsia="Arial" w:hAnsi="Arial" w:cs="Arial"/>
                <w:sz w:val="16"/>
                <w:szCs w:val="16"/>
              </w:rPr>
            </w:pPr>
            <w:r>
              <w:rPr>
                <w:rFonts w:ascii="Arial" w:eastAsia="Arial" w:hAnsi="Arial" w:cs="Arial"/>
                <w:b/>
                <w:bCs/>
                <w:sz w:val="16"/>
                <w:szCs w:val="16"/>
              </w:rPr>
              <w:t>Suma de 2025 COMPROMISOS</w:t>
            </w:r>
          </w:p>
        </w:tc>
        <w:tc>
          <w:tcPr>
            <w:tcW w:w="123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rFonts w:ascii="Arial" w:eastAsia="Arial" w:hAnsi="Arial" w:cs="Arial"/>
                <w:sz w:val="16"/>
                <w:szCs w:val="16"/>
              </w:rPr>
            </w:pPr>
            <w:r>
              <w:rPr>
                <w:rFonts w:ascii="Arial" w:eastAsia="Arial" w:hAnsi="Arial" w:cs="Arial"/>
                <w:b/>
                <w:bCs/>
                <w:sz w:val="16"/>
                <w:szCs w:val="16"/>
              </w:rPr>
              <w:t>Suma de 2025 GIROS</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rFonts w:ascii="Arial" w:eastAsia="Arial" w:hAnsi="Arial" w:cs="Arial"/>
                <w:sz w:val="16"/>
                <w:szCs w:val="16"/>
              </w:rPr>
            </w:pPr>
            <w:r>
              <w:rPr>
                <w:rFonts w:ascii="Arial" w:eastAsia="Arial" w:hAnsi="Arial" w:cs="Arial"/>
                <w:b/>
                <w:bCs/>
                <w:sz w:val="16"/>
                <w:szCs w:val="16"/>
              </w:rPr>
              <w:t xml:space="preserve"> Suma de 2026 PROG </w:t>
            </w:r>
          </w:p>
        </w:tc>
        <w:tc>
          <w:tcPr>
            <w:tcW w:w="129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rFonts w:ascii="Arial" w:eastAsia="Arial" w:hAnsi="Arial" w:cs="Arial"/>
                <w:sz w:val="16"/>
                <w:szCs w:val="16"/>
              </w:rPr>
            </w:pPr>
            <w:r>
              <w:rPr>
                <w:rFonts w:ascii="Arial" w:eastAsia="Arial" w:hAnsi="Arial" w:cs="Arial"/>
                <w:b/>
                <w:bCs/>
                <w:sz w:val="16"/>
                <w:szCs w:val="16"/>
              </w:rPr>
              <w:t xml:space="preserve"> Suma de Diferencia PROG </w:t>
            </w:r>
          </w:p>
        </w:tc>
      </w:tr>
      <w:tr w:rsidR="00743DA6">
        <w:trPr>
          <w:trHeight w:val="455"/>
        </w:trPr>
        <w:tc>
          <w:tcPr>
            <w:tcW w:w="26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both"/>
              <w:rPr>
                <w:rFonts w:ascii="Arial" w:eastAsia="Arial" w:hAnsi="Arial" w:cs="Arial"/>
                <w:sz w:val="16"/>
                <w:szCs w:val="16"/>
              </w:rPr>
            </w:pPr>
            <w:r>
              <w:rPr>
                <w:rFonts w:ascii="Arial" w:eastAsia="Arial" w:hAnsi="Arial" w:cs="Arial"/>
                <w:b/>
                <w:bCs/>
                <w:sz w:val="16"/>
                <w:szCs w:val="16"/>
              </w:rPr>
              <w:t>Fortalecimiento de la capacidad institucional de la entidad coordinadora del Sistema Distrital de Gestión de Riesgos y Cambio Climático en las instancias locales de Bogotá D.C.</w:t>
            </w:r>
          </w:p>
        </w:tc>
        <w:tc>
          <w:tcPr>
            <w:tcW w:w="114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$2011.43</w:t>
            </w:r>
          </w:p>
        </w:tc>
        <w:tc>
          <w:tcPr>
            <w:tcW w:w="14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$1675.41</w:t>
            </w:r>
          </w:p>
        </w:tc>
        <w:tc>
          <w:tcPr>
            <w:tcW w:w="123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$940.01</w:t>
            </w:r>
          </w:p>
        </w:tc>
        <w:tc>
          <w:tcPr>
            <w:tcW w:w="10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$1000.00</w:t>
            </w:r>
          </w:p>
        </w:tc>
        <w:tc>
          <w:tcPr>
            <w:tcW w:w="12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$-1011.43</w:t>
            </w:r>
          </w:p>
        </w:tc>
      </w:tr>
      <w:tr w:rsidR="00743DA6">
        <w:trPr>
          <w:trHeight w:val="455"/>
        </w:trPr>
        <w:tc>
          <w:tcPr>
            <w:tcW w:w="26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both"/>
              <w:rPr>
                <w:rFonts w:ascii="Arial" w:eastAsia="Arial" w:hAnsi="Arial" w:cs="Arial"/>
                <w:sz w:val="16"/>
                <w:szCs w:val="16"/>
              </w:rPr>
            </w:pPr>
            <w:r>
              <w:rPr>
                <w:rFonts w:ascii="Arial" w:eastAsia="Arial" w:hAnsi="Arial" w:cs="Arial"/>
                <w:b/>
                <w:bCs/>
                <w:sz w:val="16"/>
                <w:szCs w:val="16"/>
              </w:rPr>
              <w:t>Fortalecimiento de la gobernanza del Riesgo y Adaptación al Cambio Climático en la Ciudad de Bogotá D.C.</w:t>
            </w:r>
          </w:p>
        </w:tc>
        <w:tc>
          <w:tcPr>
            <w:tcW w:w="114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$1547.25</w:t>
            </w:r>
          </w:p>
        </w:tc>
        <w:tc>
          <w:tcPr>
            <w:tcW w:w="14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$546.83</w:t>
            </w:r>
          </w:p>
        </w:tc>
        <w:tc>
          <w:tcPr>
            <w:tcW w:w="123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$212.39</w:t>
            </w:r>
          </w:p>
        </w:tc>
        <w:tc>
          <w:tcPr>
            <w:tcW w:w="10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$800.00</w:t>
            </w:r>
          </w:p>
        </w:tc>
        <w:tc>
          <w:tcPr>
            <w:tcW w:w="12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$-747.25</w:t>
            </w:r>
          </w:p>
        </w:tc>
      </w:tr>
      <w:tr w:rsidR="00743DA6">
        <w:trPr>
          <w:trHeight w:val="455"/>
        </w:trPr>
        <w:tc>
          <w:tcPr>
            <w:tcW w:w="26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both"/>
              <w:rPr>
                <w:rFonts w:ascii="Arial" w:eastAsia="Arial" w:hAnsi="Arial" w:cs="Arial"/>
                <w:sz w:val="16"/>
                <w:szCs w:val="16"/>
              </w:rPr>
            </w:pPr>
            <w:r>
              <w:rPr>
                <w:rFonts w:ascii="Arial" w:eastAsia="Arial" w:hAnsi="Arial" w:cs="Arial"/>
                <w:b/>
                <w:bCs/>
                <w:sz w:val="16"/>
                <w:szCs w:val="16"/>
              </w:rPr>
              <w:t>Generación de acciones para la reducción de la condición de vulnerabilidad de las familias ubicadas en zona de alto riesgo no mitigable en la ciudad de Bogotá D.C</w:t>
            </w:r>
          </w:p>
        </w:tc>
        <w:tc>
          <w:tcPr>
            <w:tcW w:w="114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$6189.00</w:t>
            </w:r>
          </w:p>
        </w:tc>
        <w:tc>
          <w:tcPr>
            <w:tcW w:w="14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$6149.28</w:t>
            </w:r>
          </w:p>
        </w:tc>
        <w:tc>
          <w:tcPr>
            <w:tcW w:w="123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$4893.80</w:t>
            </w:r>
          </w:p>
        </w:tc>
        <w:tc>
          <w:tcPr>
            <w:tcW w:w="10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$6000.00</w:t>
            </w:r>
          </w:p>
        </w:tc>
        <w:tc>
          <w:tcPr>
            <w:tcW w:w="12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$-189.00</w:t>
            </w:r>
          </w:p>
        </w:tc>
      </w:tr>
      <w:tr w:rsidR="00743DA6">
        <w:trPr>
          <w:trHeight w:val="455"/>
        </w:trPr>
        <w:tc>
          <w:tcPr>
            <w:tcW w:w="26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both"/>
              <w:rPr>
                <w:rFonts w:ascii="Arial" w:eastAsia="Arial" w:hAnsi="Arial" w:cs="Arial"/>
                <w:sz w:val="16"/>
                <w:szCs w:val="16"/>
              </w:rPr>
            </w:pPr>
            <w:r>
              <w:rPr>
                <w:rFonts w:ascii="Arial" w:eastAsia="Arial" w:hAnsi="Arial" w:cs="Arial"/>
                <w:b/>
                <w:bCs/>
                <w:sz w:val="16"/>
                <w:szCs w:val="16"/>
              </w:rPr>
              <w:t>Generación de Conocimiento del Riesgo de Desastres y los Efectos del Cambio Climático en Bogotá D.C.</w:t>
            </w:r>
          </w:p>
        </w:tc>
        <w:tc>
          <w:tcPr>
            <w:tcW w:w="114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$6189.00</w:t>
            </w:r>
          </w:p>
        </w:tc>
        <w:tc>
          <w:tcPr>
            <w:tcW w:w="14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$3053.65</w:t>
            </w:r>
          </w:p>
        </w:tc>
        <w:tc>
          <w:tcPr>
            <w:tcW w:w="123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$1415.40</w:t>
            </w:r>
          </w:p>
        </w:tc>
        <w:tc>
          <w:tcPr>
            <w:tcW w:w="10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$4100.00</w:t>
            </w:r>
          </w:p>
        </w:tc>
        <w:tc>
          <w:tcPr>
            <w:tcW w:w="12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$-2089.00</w:t>
            </w:r>
          </w:p>
        </w:tc>
      </w:tr>
      <w:tr w:rsidR="00743DA6">
        <w:trPr>
          <w:trHeight w:val="455"/>
        </w:trPr>
        <w:tc>
          <w:tcPr>
            <w:tcW w:w="26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both"/>
              <w:rPr>
                <w:rFonts w:ascii="Arial" w:eastAsia="Arial" w:hAnsi="Arial" w:cs="Arial"/>
                <w:sz w:val="16"/>
                <w:szCs w:val="16"/>
              </w:rPr>
            </w:pPr>
            <w:r>
              <w:rPr>
                <w:rFonts w:ascii="Arial" w:eastAsia="Arial" w:hAnsi="Arial" w:cs="Arial"/>
                <w:b/>
                <w:bCs/>
                <w:sz w:val="16"/>
                <w:szCs w:val="16"/>
              </w:rPr>
              <w:t>Implementación de acciones de fortalecimiento institucional para mejorar el desempeño institucional del IDIGER en el Distrito Capital Bogotá D.C.</w:t>
            </w:r>
          </w:p>
        </w:tc>
        <w:tc>
          <w:tcPr>
            <w:tcW w:w="114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$10798.28</w:t>
            </w:r>
          </w:p>
        </w:tc>
        <w:tc>
          <w:tcPr>
            <w:tcW w:w="14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$8050.45</w:t>
            </w:r>
          </w:p>
        </w:tc>
        <w:tc>
          <w:tcPr>
            <w:tcW w:w="123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$4091.33</w:t>
            </w:r>
          </w:p>
        </w:tc>
        <w:tc>
          <w:tcPr>
            <w:tcW w:w="10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$10465.53</w:t>
            </w:r>
          </w:p>
        </w:tc>
        <w:tc>
          <w:tcPr>
            <w:tcW w:w="12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$-332.75</w:t>
            </w:r>
          </w:p>
        </w:tc>
      </w:tr>
      <w:tr w:rsidR="00743DA6">
        <w:trPr>
          <w:trHeight w:val="455"/>
        </w:trPr>
        <w:tc>
          <w:tcPr>
            <w:tcW w:w="26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both"/>
              <w:rPr>
                <w:rFonts w:ascii="Arial" w:eastAsia="Arial" w:hAnsi="Arial" w:cs="Arial"/>
                <w:sz w:val="16"/>
                <w:szCs w:val="16"/>
              </w:rPr>
            </w:pPr>
            <w:r>
              <w:rPr>
                <w:rFonts w:ascii="Arial" w:eastAsia="Arial" w:hAnsi="Arial" w:cs="Arial"/>
                <w:b/>
                <w:bCs/>
                <w:sz w:val="16"/>
                <w:szCs w:val="16"/>
              </w:rPr>
              <w:t>Incremento de las acciones de reducción del riesgo y adaptación al cambio climático en las unidades de Planeamiento Local UPL, que cuenten con análisis de riesgo en Bogotá D.C.</w:t>
            </w:r>
          </w:p>
        </w:tc>
        <w:tc>
          <w:tcPr>
            <w:tcW w:w="114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$3868.13</w:t>
            </w:r>
          </w:p>
        </w:tc>
        <w:tc>
          <w:tcPr>
            <w:tcW w:w="14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$527.28</w:t>
            </w:r>
          </w:p>
        </w:tc>
        <w:tc>
          <w:tcPr>
            <w:tcW w:w="123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$275.47</w:t>
            </w:r>
          </w:p>
        </w:tc>
        <w:tc>
          <w:tcPr>
            <w:tcW w:w="10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$4000.00</w:t>
            </w:r>
          </w:p>
        </w:tc>
        <w:tc>
          <w:tcPr>
            <w:tcW w:w="12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$131.88</w:t>
            </w:r>
          </w:p>
        </w:tc>
      </w:tr>
      <w:tr w:rsidR="00743DA6">
        <w:trPr>
          <w:trHeight w:val="455"/>
        </w:trPr>
        <w:tc>
          <w:tcPr>
            <w:tcW w:w="26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both"/>
              <w:rPr>
                <w:rFonts w:ascii="Arial" w:eastAsia="Arial" w:hAnsi="Arial" w:cs="Arial"/>
                <w:sz w:val="16"/>
                <w:szCs w:val="16"/>
              </w:rPr>
            </w:pPr>
            <w:r>
              <w:rPr>
                <w:rFonts w:ascii="Arial" w:eastAsia="Arial" w:hAnsi="Arial" w:cs="Arial"/>
                <w:b/>
                <w:bCs/>
                <w:sz w:val="16"/>
                <w:szCs w:val="16"/>
              </w:rPr>
              <w:t>Optimización del proceso de manejo de emergencias y desastres en Bogotá D.C.</w:t>
            </w:r>
          </w:p>
        </w:tc>
        <w:tc>
          <w:tcPr>
            <w:tcW w:w="114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$3352.38</w:t>
            </w:r>
          </w:p>
        </w:tc>
        <w:tc>
          <w:tcPr>
            <w:tcW w:w="147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$2277.44</w:t>
            </w:r>
          </w:p>
        </w:tc>
        <w:tc>
          <w:tcPr>
            <w:tcW w:w="123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$998.69</w:t>
            </w:r>
          </w:p>
        </w:tc>
        <w:tc>
          <w:tcPr>
            <w:tcW w:w="102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$3511.00</w:t>
            </w:r>
          </w:p>
        </w:tc>
        <w:tc>
          <w:tcPr>
            <w:tcW w:w="12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$158.63</w:t>
            </w:r>
          </w:p>
        </w:tc>
      </w:tr>
      <w:tr w:rsidR="00743DA6">
        <w:trPr>
          <w:trHeight w:val="455"/>
        </w:trPr>
        <w:tc>
          <w:tcPr>
            <w:tcW w:w="267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both"/>
              <w:rPr>
                <w:rFonts w:ascii="Arial" w:eastAsia="Arial" w:hAnsi="Arial" w:cs="Arial"/>
                <w:sz w:val="16"/>
                <w:szCs w:val="16"/>
              </w:rPr>
            </w:pPr>
            <w:r>
              <w:rPr>
                <w:rFonts w:ascii="Arial" w:eastAsia="Arial" w:hAnsi="Arial" w:cs="Arial"/>
                <w:b/>
                <w:bCs/>
                <w:sz w:val="16"/>
                <w:szCs w:val="16"/>
              </w:rPr>
              <w:t>Total general</w:t>
            </w:r>
          </w:p>
        </w:tc>
        <w:tc>
          <w:tcPr>
            <w:tcW w:w="114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$33955.45</w:t>
            </w:r>
          </w:p>
        </w:tc>
        <w:tc>
          <w:tcPr>
            <w:tcW w:w="147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$22280.35</w:t>
            </w:r>
          </w:p>
        </w:tc>
        <w:tc>
          <w:tcPr>
            <w:tcW w:w="123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$12827.09</w:t>
            </w:r>
          </w:p>
        </w:tc>
        <w:tc>
          <w:tcPr>
            <w:tcW w:w="102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$29876.53</w:t>
            </w:r>
          </w:p>
        </w:tc>
        <w:tc>
          <w:tcPr>
            <w:tcW w:w="129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rFonts w:ascii="Arial" w:eastAsia="Arial" w:hAnsi="Arial" w:cs="Arial"/>
                <w:sz w:val="16"/>
                <w:szCs w:val="16"/>
              </w:rPr>
            </w:pPr>
            <w:r>
              <w:rPr>
                <w:rFonts w:ascii="Arial" w:eastAsia="Arial" w:hAnsi="Arial" w:cs="Arial"/>
                <w:sz w:val="16"/>
                <w:szCs w:val="16"/>
              </w:rPr>
              <w:t>$-4078.92</w:t>
            </w:r>
          </w:p>
        </w:tc>
      </w:tr>
    </w:tbl>
    <w:p w:rsidR="00743DA6" w:rsidRDefault="00D95D19">
      <w:pPr>
        <w:spacing w:before="240" w:after="240" w:line="276" w:lineRule="auto"/>
        <w:jc w:val="center"/>
        <w:rPr>
          <w:sz w:val="18"/>
          <w:szCs w:val="18"/>
        </w:rPr>
      </w:pPr>
      <w:r>
        <w:rPr>
          <w:b/>
          <w:bCs/>
          <w:sz w:val="18"/>
          <w:szCs w:val="18"/>
        </w:rPr>
        <w:t>Fuente:</w:t>
      </w:r>
      <w:r>
        <w:rPr>
          <w:sz w:val="18"/>
          <w:szCs w:val="18"/>
        </w:rPr>
        <w:t xml:space="preserve"> Elaboración propia (2025) con base en la matriz comparativa de la Secretaría Distrital de Hacienda (2025).</w:t>
      </w:r>
    </w:p>
    <w:p w:rsidR="00743DA6" w:rsidRDefault="00D95D19">
      <w:pPr>
        <w:spacing w:before="240" w:after="240"/>
        <w:jc w:val="both"/>
      </w:pPr>
      <w:r>
        <w:t>El balance programático y financiero del IDIGER evidencia una tensión estructural entre la magnitud de las responsabilidades que la ciudad le asigna y el nivel real de recursos disponibles para ejecutarlas. Para 2025, la suma programada de inversión alcanzaba $33.955 millones; sin embargo, los compromisos apenas llegaron a $22.280 millones y los giros efectivos descendieron hasta $12.827 millones. Esta brecha, más que un indicador contable, muestra una restricción operativa severa en una entidad cuya capacidad de actuación depende de proyectos que requieren continuidad, despliegue territorial y acompañamiento permanente a comunidades, UPL, entidades sectoriales y cuerpos de emergencia.</w:t>
      </w:r>
    </w:p>
    <w:p w:rsidR="00743DA6" w:rsidRDefault="00D95D19">
      <w:pPr>
        <w:spacing w:before="240" w:after="240"/>
        <w:jc w:val="both"/>
      </w:pPr>
      <w:r>
        <w:t>Al revisar la programación 2026, la señal de alerta se profundiza: el presupuesto desciende a $29.876 millones, lo que implica una contracción neta de $4.078 millones. Esta reducción no solo disminuye la capacidad de respuesta institucional, sino que afecta directamente metas esenciales para la gestión social del riesgo. La caída más pronunciada aparece en los proyectos asociados al fortalecimiento institucional en instancias locales, gobernanza del riesgo, generación de conocimiento climático y acciones comunitarias. En todos ellos, la diferencia entre lo programado en 2025 y lo contemplado para 2026 es negativa y, en algunos casos, supera el 50 %. Los recortes recaen justamente en los componentes que permiten sostener alertas comunitarias, procesos de educación, redes territoriales de prevención y mecanismos participativos que complementan la acción técnica del IDIGER.</w:t>
      </w:r>
    </w:p>
    <w:p w:rsidR="00743DA6" w:rsidRDefault="00D95D19">
      <w:pPr>
        <w:spacing w:before="240" w:after="240"/>
        <w:jc w:val="both"/>
      </w:pPr>
      <w:r>
        <w:t>Un análisis detallado de las metas expone dos vacíos críticos. El primero corresponde a la meta de vincular 52.200 personas en actividades de divulgación, sensibilización, formación y entrenamiento en gestión del riesgo y adaptación climática. En 2025 tenía una programación de $743 millones, pero se comprometieron solo $57 millones y se giraron $23 millones. Para 2026, la asignación inicial se reduce drásticamente a $144 millones, generando una brecha de $598 millones frente al año anterior. Con ese nivel de recursos, la ciudad no podría sostener ni siquiera una fracción de los procesos básicos de formación territorial, lo cual afecta directamente a zonas en ladera, barrios de alto riesgo no mitigable, áreas con historial de deslizamientos y sectores Prioritarios de UPL donde la prevención depende, en gran medida, de la apropiación comunitaria.</w:t>
      </w:r>
    </w:p>
    <w:p w:rsidR="00743DA6" w:rsidRDefault="00D95D19">
      <w:pPr>
        <w:spacing w:before="240" w:after="240"/>
        <w:jc w:val="both"/>
      </w:pPr>
      <w:r>
        <w:t>El segundo vacío crítico se encuentra en la meta de fortalecimiento comunitario para gestión del riesgo y adaptación climática, compuesta por siete procesos que abarcan iniciativas territoriales, redes sociales de gestión del riesgo y alertas comunitarias. En 2025 se programaron $488 millones; para 2026, la programación disminuye a $189 millones, generando una diferencia negativa de $298 millones. La reducción compromete la posibilidad de sostener redes locales, acompañar iniciativas comunitarias, mejorar la articulación entre actores territoriales y mantener operativas herramientas colectivas de alerta temprana.</w:t>
      </w:r>
    </w:p>
    <w:p w:rsidR="00743DA6" w:rsidRDefault="00D95D19">
      <w:pPr>
        <w:spacing w:before="240" w:after="240"/>
        <w:jc w:val="both"/>
      </w:pPr>
      <w:r>
        <w:t>Estos recortes, tomados en conjunto, deterioran la capacidad del IDIGER para cumplir funciones que no pueden ser aplazadas sin afectar directamente la seguridad de miles de hogares. Si la ciudad incrementa la presión sobre el sistema, por variabilidad climática, saturación del drenaje urbano, incendios forestales, deslizamientos y urbanización informal en zonas expuestas, resulta incongruente reducir precisamente las partidas que sostienen la interacción comunitaria, el flujo de información temprana y los mecanismos preventivos que alivian la carga institucional. Desde una perspectiva técnica, la inversión en formación y fortalecimiento comunitario tiene una rentabilidad social muy superior a su costo presupuestal. Y desde una lectura política, retroceder en estas líneas significa debilitar la estructura pública de cuidado territorial y aumentar la dependencia exclusiva de intervenciones reactivas y costosas.</w:t>
      </w:r>
    </w:p>
    <w:p w:rsidR="00743DA6" w:rsidRDefault="00D95D19">
      <w:pPr>
        <w:spacing w:before="240" w:after="240"/>
        <w:jc w:val="both"/>
      </w:pPr>
      <w:r>
        <w:t>Ante este escenario, es pertinente solicitar dos adiciones presupuestales puntuales, técnicamente justificadas, financieramente manejables y estratégicamente alineadas con las necesidades del sistema de gestión del riesgo:</w:t>
      </w:r>
      <w:r>
        <w:br/>
      </w:r>
    </w:p>
    <w:p w:rsidR="00743DA6" w:rsidRDefault="00D95D19">
      <w:pPr>
        <w:spacing w:before="240" w:after="240"/>
        <w:jc w:val="both"/>
        <w:rPr>
          <w:b/>
          <w:bCs/>
          <w:sz w:val="22"/>
          <w:szCs w:val="22"/>
        </w:rPr>
      </w:pPr>
      <w:r>
        <w:rPr>
          <w:b/>
          <w:bCs/>
          <w:sz w:val="22"/>
          <w:szCs w:val="22"/>
        </w:rPr>
        <w:t>Tabla No. 22. Solicitud de adición IDIGER</w:t>
      </w:r>
    </w:p>
    <w:tbl>
      <w:tblPr>
        <w:tblStyle w:val="affffff2"/>
        <w:tblW w:w="9420" w:type="dxa"/>
        <w:tblBorders>
          <w:top w:val="nil"/>
          <w:left w:val="nil"/>
          <w:bottom w:val="nil"/>
          <w:right w:val="nil"/>
          <w:insideH w:val="nil"/>
          <w:insideV w:val="nil"/>
        </w:tblBorders>
        <w:tblLayout w:type="fixed"/>
        <w:tblLook w:val="0600" w:firstRow="0" w:lastRow="0" w:firstColumn="0" w:lastColumn="0" w:noHBand="1" w:noVBand="1"/>
      </w:tblPr>
      <w:tblGrid>
        <w:gridCol w:w="2850"/>
        <w:gridCol w:w="4515"/>
        <w:gridCol w:w="2055"/>
      </w:tblGrid>
      <w:tr w:rsidR="00743DA6">
        <w:trPr>
          <w:trHeight w:val="840"/>
        </w:trPr>
        <w:tc>
          <w:tcPr>
            <w:tcW w:w="2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center"/>
              <w:rPr>
                <w:b/>
                <w:bCs/>
                <w:sz w:val="16"/>
                <w:szCs w:val="16"/>
              </w:rPr>
            </w:pPr>
            <w:r>
              <w:rPr>
                <w:b/>
                <w:bCs/>
                <w:sz w:val="16"/>
                <w:szCs w:val="16"/>
              </w:rPr>
              <w:t>PROYECTO</w:t>
            </w:r>
          </w:p>
        </w:tc>
        <w:tc>
          <w:tcPr>
            <w:tcW w:w="45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center"/>
              <w:rPr>
                <w:b/>
                <w:bCs/>
                <w:sz w:val="16"/>
                <w:szCs w:val="16"/>
              </w:rPr>
            </w:pPr>
            <w:r>
              <w:rPr>
                <w:b/>
                <w:bCs/>
                <w:sz w:val="16"/>
                <w:szCs w:val="16"/>
              </w:rPr>
              <w:t>Actividad</w:t>
            </w:r>
          </w:p>
        </w:tc>
        <w:tc>
          <w:tcPr>
            <w:tcW w:w="205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center"/>
              <w:rPr>
                <w:b/>
                <w:bCs/>
                <w:sz w:val="16"/>
                <w:szCs w:val="16"/>
              </w:rPr>
            </w:pPr>
            <w:r>
              <w:rPr>
                <w:b/>
                <w:bCs/>
                <w:sz w:val="16"/>
                <w:szCs w:val="16"/>
              </w:rPr>
              <w:t xml:space="preserve"> VALOR (en millones de pesos $)</w:t>
            </w:r>
          </w:p>
        </w:tc>
      </w:tr>
      <w:tr w:rsidR="00743DA6">
        <w:trPr>
          <w:trHeight w:val="1146"/>
        </w:trPr>
        <w:tc>
          <w:tcPr>
            <w:tcW w:w="28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sz w:val="16"/>
                <w:szCs w:val="16"/>
              </w:rPr>
            </w:pPr>
            <w:r>
              <w:rPr>
                <w:sz w:val="16"/>
                <w:szCs w:val="16"/>
              </w:rPr>
              <w:t>Vincular 2302200 Persona(s) en acciones de educación ambiental para la conservación de la biodiversidad, el agua y la gestión de riesgos de desastres</w:t>
            </w:r>
          </w:p>
        </w:tc>
        <w:tc>
          <w:tcPr>
            <w:tcW w:w="451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sz w:val="16"/>
                <w:szCs w:val="16"/>
              </w:rPr>
            </w:pPr>
            <w:r>
              <w:rPr>
                <w:sz w:val="16"/>
                <w:szCs w:val="16"/>
              </w:rPr>
              <w:t>5 -  Vincular 52200 Persona(s) en actividades de divulgación, sensibilización, formación, capacitación y entrenamiento en gestión del riesgo y adaptación al cambio climático en la modalidad virtual y/o presencial</w:t>
            </w:r>
          </w:p>
        </w:tc>
        <w:tc>
          <w:tcPr>
            <w:tcW w:w="205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right"/>
              <w:rPr>
                <w:sz w:val="16"/>
                <w:szCs w:val="16"/>
              </w:rPr>
            </w:pPr>
            <w:r>
              <w:rPr>
                <w:sz w:val="16"/>
                <w:szCs w:val="16"/>
              </w:rPr>
              <w:t xml:space="preserve"> $1500</w:t>
            </w:r>
          </w:p>
        </w:tc>
      </w:tr>
      <w:tr w:rsidR="00743DA6">
        <w:trPr>
          <w:trHeight w:val="1006"/>
        </w:trPr>
        <w:tc>
          <w:tcPr>
            <w:tcW w:w="28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sz w:val="16"/>
                <w:szCs w:val="16"/>
              </w:rPr>
            </w:pPr>
            <w:r>
              <w:rPr>
                <w:sz w:val="16"/>
                <w:szCs w:val="16"/>
              </w:rPr>
              <w:t>Realizar 1182 Proceso(s) de participación ciudadana para la mitigación de las situaciones ambientales conflictivas y para la gestión comunitaria del riesgo de desastres</w:t>
            </w:r>
          </w:p>
        </w:tc>
        <w:tc>
          <w:tcPr>
            <w:tcW w:w="451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sz w:val="16"/>
                <w:szCs w:val="16"/>
              </w:rPr>
            </w:pPr>
            <w:r>
              <w:rPr>
                <w:sz w:val="16"/>
                <w:szCs w:val="16"/>
              </w:rPr>
              <w:t>2 - Promover 7 Proceso(s) para el fortalecimiento comunitario en gestión del riesgo y adaptación al cambio climático (Iniciativas, Red Social de Gestión de Riesgos y Cambio Climático y Alertas Comunitarias)</w:t>
            </w:r>
          </w:p>
        </w:tc>
        <w:tc>
          <w:tcPr>
            <w:tcW w:w="205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right"/>
              <w:rPr>
                <w:sz w:val="16"/>
                <w:szCs w:val="16"/>
              </w:rPr>
            </w:pPr>
            <w:r>
              <w:rPr>
                <w:sz w:val="16"/>
                <w:szCs w:val="16"/>
              </w:rPr>
              <w:t xml:space="preserve"> $1500</w:t>
            </w:r>
          </w:p>
        </w:tc>
      </w:tr>
      <w:tr w:rsidR="00743DA6">
        <w:trPr>
          <w:trHeight w:val="285"/>
        </w:trPr>
        <w:tc>
          <w:tcPr>
            <w:tcW w:w="7365" w:type="dxa"/>
            <w:gridSpan w:val="2"/>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sz w:val="16"/>
                <w:szCs w:val="16"/>
              </w:rPr>
            </w:pPr>
            <w:r>
              <w:rPr>
                <w:sz w:val="16"/>
                <w:szCs w:val="16"/>
              </w:rPr>
              <w:t>TOTALES</w:t>
            </w:r>
          </w:p>
        </w:tc>
        <w:tc>
          <w:tcPr>
            <w:tcW w:w="20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743DA6" w:rsidRDefault="00D95D19">
            <w:pPr>
              <w:shd w:val="clear" w:color="auto" w:fill="FFFFFF"/>
              <w:spacing w:before="240" w:after="240" w:line="276" w:lineRule="auto"/>
              <w:jc w:val="both"/>
              <w:rPr>
                <w:sz w:val="16"/>
                <w:szCs w:val="16"/>
              </w:rPr>
            </w:pPr>
            <w:r>
              <w:rPr>
                <w:sz w:val="16"/>
                <w:szCs w:val="16"/>
              </w:rPr>
              <w:t xml:space="preserve"> $3,000</w:t>
            </w:r>
          </w:p>
        </w:tc>
      </w:tr>
    </w:tbl>
    <w:p w:rsidR="00743DA6" w:rsidRDefault="00743DA6">
      <w:pPr>
        <w:pBdr>
          <w:top w:val="nil"/>
          <w:left w:val="nil"/>
          <w:bottom w:val="nil"/>
          <w:right w:val="nil"/>
          <w:between w:val="nil"/>
        </w:pBdr>
        <w:jc w:val="both"/>
        <w:rPr>
          <w:sz w:val="22"/>
          <w:szCs w:val="22"/>
        </w:rPr>
      </w:pPr>
    </w:p>
    <w:p w:rsidR="00743DA6" w:rsidRDefault="00D95D19">
      <w:pPr>
        <w:pBdr>
          <w:top w:val="nil"/>
          <w:left w:val="nil"/>
          <w:bottom w:val="nil"/>
          <w:right w:val="nil"/>
          <w:between w:val="nil"/>
        </w:pBdr>
        <w:spacing w:line="259" w:lineRule="auto"/>
        <w:jc w:val="both"/>
        <w:rPr>
          <w:b/>
          <w:bCs/>
          <w:color w:val="000000"/>
          <w:sz w:val="22"/>
          <w:szCs w:val="22"/>
        </w:rPr>
      </w:pPr>
      <w:r>
        <w:rPr>
          <w:b/>
          <w:bCs/>
          <w:color w:val="000000"/>
          <w:sz w:val="22"/>
          <w:szCs w:val="22"/>
        </w:rPr>
        <w:t>Jardín Botánico José Celestino Mutis - JBB</w:t>
      </w:r>
    </w:p>
    <w:p w:rsidR="00743DA6" w:rsidRDefault="00743DA6">
      <w:pPr>
        <w:pBdr>
          <w:top w:val="nil"/>
          <w:left w:val="nil"/>
          <w:bottom w:val="nil"/>
          <w:right w:val="nil"/>
          <w:between w:val="nil"/>
        </w:pBdr>
        <w:spacing w:line="259" w:lineRule="auto"/>
        <w:jc w:val="both"/>
        <w:rPr>
          <w:b/>
          <w:bCs/>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El análisis histórico del  Jardín Botánico de Bogotá José Celestino Mutis de 2022 a 2026 revela una tendencia fiscal que contrasta con la SDA, ya que el JB opera bajo un presupuesto más fluctuante y misional. Sin embargo, su principal debilidad radica en la incapacidad administrativa para ejecutar completamente los recursos asignados, lo que se traduce en una reducción presupuestal para 2026. A continuación, se presenta la gráfica que ilustra esta dinámica histórica.</w:t>
      </w:r>
    </w:p>
    <w:p w:rsidR="00743DA6" w:rsidRDefault="00743DA6">
      <w:pPr>
        <w:pBdr>
          <w:top w:val="nil"/>
          <w:left w:val="nil"/>
          <w:bottom w:val="nil"/>
          <w:right w:val="nil"/>
          <w:between w:val="nil"/>
        </w:pBdr>
        <w:spacing w:line="259" w:lineRule="auto"/>
        <w:jc w:val="both"/>
        <w:rPr>
          <w:sz w:val="22"/>
          <w:szCs w:val="22"/>
        </w:rPr>
      </w:pPr>
    </w:p>
    <w:p w:rsidR="00743DA6" w:rsidRDefault="00743DA6">
      <w:pPr>
        <w:pBdr>
          <w:top w:val="nil"/>
          <w:left w:val="nil"/>
          <w:bottom w:val="nil"/>
          <w:right w:val="nil"/>
          <w:between w:val="nil"/>
        </w:pBdr>
        <w:spacing w:line="259" w:lineRule="auto"/>
        <w:jc w:val="both"/>
        <w:rPr>
          <w:sz w:val="22"/>
          <w:szCs w:val="22"/>
        </w:rPr>
      </w:pPr>
    </w:p>
    <w:p w:rsidR="00743DA6" w:rsidRDefault="00743DA6">
      <w:pPr>
        <w:pBdr>
          <w:top w:val="nil"/>
          <w:left w:val="nil"/>
          <w:bottom w:val="nil"/>
          <w:right w:val="nil"/>
          <w:between w:val="nil"/>
        </w:pBdr>
        <w:spacing w:line="259" w:lineRule="auto"/>
        <w:jc w:val="both"/>
        <w:rPr>
          <w:sz w:val="22"/>
          <w:szCs w:val="22"/>
        </w:rPr>
      </w:pPr>
    </w:p>
    <w:p w:rsidR="00743DA6" w:rsidRDefault="00D95D19">
      <w:pPr>
        <w:jc w:val="center"/>
        <w:rPr>
          <w:b/>
          <w:bCs/>
          <w:sz w:val="22"/>
          <w:szCs w:val="22"/>
        </w:rPr>
      </w:pPr>
      <w:r>
        <w:rPr>
          <w:b/>
          <w:bCs/>
          <w:sz w:val="22"/>
          <w:szCs w:val="22"/>
        </w:rPr>
        <w:t>Gráfica x: Histórico presupuestal JBB 2022-2026</w:t>
      </w:r>
    </w:p>
    <w:p w:rsidR="00743DA6" w:rsidRDefault="00D95D19">
      <w:pPr>
        <w:pBdr>
          <w:top w:val="nil"/>
          <w:left w:val="nil"/>
          <w:bottom w:val="nil"/>
          <w:right w:val="nil"/>
          <w:between w:val="nil"/>
        </w:pBdr>
        <w:spacing w:line="259" w:lineRule="auto"/>
        <w:jc w:val="center"/>
        <w:rPr>
          <w:sz w:val="22"/>
          <w:szCs w:val="22"/>
        </w:rPr>
      </w:pPr>
      <w:r>
        <w:rPr>
          <w:noProof/>
          <w:sz w:val="22"/>
          <w:szCs w:val="22"/>
          <w:lang w:val="es-CO"/>
        </w:rPr>
        <w:drawing>
          <wp:inline distT="114300" distB="114300" distL="114300" distR="114300">
            <wp:extent cx="5612130" cy="3276600"/>
            <wp:effectExtent l="0" t="0" r="0" b="0"/>
            <wp:docPr id="2127399617"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7"/>
                    <a:srcRect/>
                    <a:stretch>
                      <a:fillRect/>
                    </a:stretch>
                  </pic:blipFill>
                  <pic:spPr>
                    <a:xfrm>
                      <a:off x="0" y="0"/>
                      <a:ext cx="5612130" cy="3276600"/>
                    </a:xfrm>
                    <a:prstGeom prst="rect">
                      <a:avLst/>
                    </a:prstGeom>
                    <a:ln/>
                  </pic:spPr>
                </pic:pic>
              </a:graphicData>
            </a:graphic>
          </wp:inline>
        </w:drawing>
      </w:r>
      <w:r>
        <w:rPr>
          <w:b/>
          <w:bCs/>
          <w:sz w:val="18"/>
          <w:szCs w:val="18"/>
        </w:rPr>
        <w:t>Fuente:</w:t>
      </w:r>
      <w:r>
        <w:rPr>
          <w:sz w:val="18"/>
          <w:szCs w:val="18"/>
        </w:rPr>
        <w:t xml:space="preserve"> Elaboración propia (2025) con base en la información suministrada por la Secretaría Distrital de Hacienda (2025).</w:t>
      </w:r>
    </w:p>
    <w:p w:rsidR="00743DA6" w:rsidRDefault="00D95D19">
      <w:pPr>
        <w:spacing w:before="240" w:after="240" w:line="259" w:lineRule="auto"/>
        <w:jc w:val="both"/>
        <w:rPr>
          <w:sz w:val="22"/>
          <w:szCs w:val="22"/>
        </w:rPr>
      </w:pPr>
      <w:r>
        <w:rPr>
          <w:sz w:val="22"/>
          <w:szCs w:val="22"/>
        </w:rPr>
        <w:t>El presupuesto programado del Jardín Botánico (línea azul) no es plano: se mueve en una banda de 55 a 74 mil millones, con picos y valles claros. En 2022 está alrededor de $58,6 mil millones, sube en 2023 a $68,4 mil millones (un aumento fuerte), luego cae en 2024 a unos $55,0 mil millones (el punto más bajo del periodo) y vuelve a subir con fuerza en 2025 hasta $73,7 mil millones, para corregirse levemente a la baja en 2026, hacia $71,3 mil millones. Es decir: no hay una tendencia de desfinanciamiento; el Jardín sigue siendo una entidad relativamente bien tratada en términos de orden de magnitud del presupuesto, pero sí hay oscilaciones anuales importantes, con un recorte en 2024 y un “pico” inusual en 2025 que luego se ajusta.</w:t>
      </w:r>
    </w:p>
    <w:p w:rsidR="00743DA6" w:rsidRDefault="00D95D19">
      <w:pPr>
        <w:spacing w:before="240" w:after="240" w:line="259" w:lineRule="auto"/>
        <w:jc w:val="both"/>
        <w:rPr>
          <w:sz w:val="22"/>
          <w:szCs w:val="22"/>
        </w:rPr>
      </w:pPr>
      <w:r>
        <w:rPr>
          <w:sz w:val="22"/>
          <w:szCs w:val="22"/>
        </w:rPr>
        <w:t>La clave está en cómo se ejecuta ese presupuesto. Las líneas naranja (comprometido) y roja (girado) muestran que, aunque el Jardín logra contratar buena parte de lo que se programa, la capacidad de convertir esos contratos en pagos efectivos se ha ido debilitando. En 2022 y 2023 los giros están muy cerca de los 56–60 mil millones; en 2024 bajan a unos 45,5 mil millones y en 2025, pese a ser el año con mayor presupuesto programado, los pagos se estancan alrededor de 44–45 mil millones, prácticamente el nivel más bajo de todo el periodo. Eso implica que el porcentaje de ejecución cae: cada vez se paga una proporción menor del presupuesto aprobado, y la brecha entre lo que se programa, lo que se contrata y lo que efectivamente se ejecuta se abre más.</w:t>
      </w:r>
    </w:p>
    <w:p w:rsidR="00743DA6" w:rsidRDefault="00D95D19">
      <w:pPr>
        <w:spacing w:before="240" w:after="240" w:line="259" w:lineRule="auto"/>
        <w:jc w:val="both"/>
        <w:rPr>
          <w:sz w:val="22"/>
          <w:szCs w:val="22"/>
        </w:rPr>
      </w:pPr>
      <w:r>
        <w:rPr>
          <w:sz w:val="22"/>
          <w:szCs w:val="22"/>
        </w:rPr>
        <w:t>Técnicamente, el Jardín Botánico no tiene un problema de falta de recursos en términos de monto global, sino un problema de capacidad de absorción. El gran salto de apropiación en 2025 no vino acompañado de una mejora en la ejecución; por el contrario, la ejecución relativa cayó, y por eso es posible que en 2026 se corrija el nivel programado con un recorte moderado. El riesgo para la política ambiental es que, aun cuando el Plan de Desarrollo le asigna al Jardín responsabilidades estratégicas (censo de arbolado, investigación, apoyo a restauración, fortalecimiento del Tropicario), la institución está mostrando dificultades para transformar esos recursos crecientes en resultados ejecutados, lo que convierte la brecha de ejecución en el principal cuello de botella de su gestión.</w:t>
      </w:r>
    </w:p>
    <w:p w:rsidR="00743DA6" w:rsidRDefault="00D95D19">
      <w:pPr>
        <w:pBdr>
          <w:top w:val="nil"/>
          <w:left w:val="nil"/>
          <w:bottom w:val="nil"/>
          <w:right w:val="nil"/>
          <w:between w:val="nil"/>
        </w:pBdr>
        <w:spacing w:line="259" w:lineRule="auto"/>
        <w:jc w:val="both"/>
        <w:rPr>
          <w:b/>
          <w:bCs/>
          <w:sz w:val="22"/>
          <w:szCs w:val="22"/>
        </w:rPr>
      </w:pPr>
      <w:r>
        <w:rPr>
          <w:b/>
          <w:bCs/>
          <w:sz w:val="22"/>
          <w:szCs w:val="22"/>
        </w:rPr>
        <w:t>Hallazgos y Alertas</w:t>
      </w:r>
    </w:p>
    <w:p w:rsidR="00743DA6" w:rsidRDefault="00D95D19">
      <w:pPr>
        <w:spacing w:before="240" w:after="240" w:line="259" w:lineRule="auto"/>
        <w:jc w:val="both"/>
        <w:rPr>
          <w:b/>
          <w:bCs/>
          <w:sz w:val="22"/>
          <w:szCs w:val="22"/>
        </w:rPr>
      </w:pPr>
      <w:r>
        <w:rPr>
          <w:b/>
          <w:bCs/>
          <w:sz w:val="22"/>
          <w:szCs w:val="22"/>
        </w:rPr>
        <w:t>Balance General de Ejecución y Programación</w:t>
      </w:r>
    </w:p>
    <w:p w:rsidR="00743DA6" w:rsidRDefault="00D95D19">
      <w:pPr>
        <w:spacing w:before="240" w:after="240" w:line="259" w:lineRule="auto"/>
        <w:jc w:val="both"/>
        <w:rPr>
          <w:sz w:val="22"/>
          <w:szCs w:val="22"/>
        </w:rPr>
      </w:pPr>
      <w:r>
        <w:rPr>
          <w:sz w:val="22"/>
          <w:szCs w:val="22"/>
        </w:rPr>
        <w:t>El análisis financiero del Jardín Botánico revela una situación de contracción presupuestal justificada, en gran medida, por un nivel de ejecución medio-bajo durante la vigencia 2025.</w:t>
      </w:r>
    </w:p>
    <w:p w:rsidR="00743DA6" w:rsidRDefault="00D95D19">
      <w:pPr>
        <w:numPr>
          <w:ilvl w:val="0"/>
          <w:numId w:val="12"/>
        </w:numPr>
        <w:spacing w:before="240" w:line="259" w:lineRule="auto"/>
        <w:jc w:val="both"/>
        <w:rPr>
          <w:sz w:val="22"/>
          <w:szCs w:val="22"/>
        </w:rPr>
      </w:pPr>
      <w:r>
        <w:rPr>
          <w:sz w:val="22"/>
          <w:szCs w:val="22"/>
        </w:rPr>
        <w:t>Presupuesto Programado 2025: $63,049.60 millones</w:t>
      </w:r>
    </w:p>
    <w:p w:rsidR="00743DA6" w:rsidRDefault="00D95D19">
      <w:pPr>
        <w:numPr>
          <w:ilvl w:val="0"/>
          <w:numId w:val="12"/>
        </w:numPr>
        <w:spacing w:line="259" w:lineRule="auto"/>
        <w:jc w:val="both"/>
        <w:rPr>
          <w:sz w:val="22"/>
          <w:szCs w:val="22"/>
        </w:rPr>
      </w:pPr>
      <w:r>
        <w:rPr>
          <w:sz w:val="22"/>
          <w:szCs w:val="22"/>
        </w:rPr>
        <w:t>Presupuesto Comprometido 2025: $55,094.07 millones</w:t>
      </w:r>
    </w:p>
    <w:p w:rsidR="00743DA6" w:rsidRDefault="00D95D19">
      <w:pPr>
        <w:numPr>
          <w:ilvl w:val="0"/>
          <w:numId w:val="12"/>
        </w:numPr>
        <w:spacing w:line="259" w:lineRule="auto"/>
        <w:jc w:val="both"/>
        <w:rPr>
          <w:sz w:val="22"/>
          <w:szCs w:val="22"/>
        </w:rPr>
      </w:pPr>
      <w:r>
        <w:rPr>
          <w:sz w:val="22"/>
          <w:szCs w:val="22"/>
        </w:rPr>
        <w:t>Presupuesto Girado (Pagado) 2025: $31,205.57 millones</w:t>
      </w:r>
    </w:p>
    <w:p w:rsidR="00743DA6" w:rsidRDefault="00D95D19">
      <w:pPr>
        <w:numPr>
          <w:ilvl w:val="0"/>
          <w:numId w:val="12"/>
        </w:numPr>
        <w:spacing w:after="240" w:line="259" w:lineRule="auto"/>
        <w:jc w:val="both"/>
        <w:rPr>
          <w:sz w:val="22"/>
          <w:szCs w:val="22"/>
        </w:rPr>
      </w:pPr>
      <w:r>
        <w:rPr>
          <w:sz w:val="22"/>
          <w:szCs w:val="22"/>
        </w:rPr>
        <w:t>Presupuesto Programado 2026: $57,379.69 millones</w:t>
      </w:r>
    </w:p>
    <w:p w:rsidR="00743DA6" w:rsidRDefault="00D95D19">
      <w:pPr>
        <w:spacing w:before="240" w:after="240" w:line="259" w:lineRule="auto"/>
        <w:jc w:val="both"/>
        <w:rPr>
          <w:b/>
          <w:bCs/>
          <w:sz w:val="22"/>
          <w:szCs w:val="22"/>
        </w:rPr>
      </w:pPr>
      <w:r>
        <w:rPr>
          <w:sz w:val="22"/>
          <w:szCs w:val="22"/>
        </w:rPr>
        <w:t>Diferencia Total: Se presenta una reducción neta de -$5,669.91 millones, lo que equivale a una disminución porcentual del -8.99%.</w:t>
      </w:r>
    </w:p>
    <w:p w:rsidR="00743DA6" w:rsidRDefault="00D95D19">
      <w:pPr>
        <w:pBdr>
          <w:top w:val="nil"/>
          <w:left w:val="nil"/>
          <w:bottom w:val="nil"/>
          <w:right w:val="nil"/>
          <w:between w:val="nil"/>
        </w:pBdr>
        <w:spacing w:line="259" w:lineRule="auto"/>
        <w:rPr>
          <w:b/>
          <w:bCs/>
          <w:sz w:val="22"/>
          <w:szCs w:val="22"/>
        </w:rPr>
      </w:pPr>
      <w:r>
        <w:rPr>
          <w:b/>
          <w:bCs/>
          <w:sz w:val="22"/>
          <w:szCs w:val="22"/>
        </w:rPr>
        <w:t>Tabla 23. Análisis de del comportamiento presupuestal de las actividades del JBB para 2025 -2026</w:t>
      </w:r>
    </w:p>
    <w:sdt>
      <w:sdtPr>
        <w:rPr>
          <w:rFonts w:ascii="Arial" w:eastAsia="Arial" w:hAnsi="Arial" w:cs="Arial"/>
          <w:sz w:val="24"/>
          <w:szCs w:val="24"/>
          <w:lang w:val="es" w:eastAsia="es-CO"/>
        </w:rPr>
        <w:tag w:val="goog_rdk_460"/>
        <w:id w:val="-939045455"/>
        <w:lock w:val="contentLocked"/>
      </w:sdtPr>
      <w:sdtEndPr/>
      <w:sdtContent>
        <w:tbl>
          <w:tblPr>
            <w:tblStyle w:val="affffff3"/>
            <w:tblW w:w="8820" w:type="dxa"/>
            <w:tblBorders>
              <w:top w:val="nil"/>
              <w:left w:val="nil"/>
              <w:bottom w:val="nil"/>
              <w:right w:val="nil"/>
              <w:insideH w:val="nil"/>
              <w:insideV w:val="nil"/>
            </w:tblBorders>
            <w:tblLayout w:type="fixed"/>
            <w:tblLook w:val="0600" w:firstRow="0" w:lastRow="0" w:firstColumn="0" w:lastColumn="0" w:noHBand="1" w:noVBand="1"/>
          </w:tblPr>
          <w:tblGrid>
            <w:gridCol w:w="4695"/>
            <w:gridCol w:w="735"/>
            <w:gridCol w:w="825"/>
            <w:gridCol w:w="750"/>
            <w:gridCol w:w="750"/>
            <w:gridCol w:w="1065"/>
          </w:tblGrid>
          <w:tr w:rsidR="00743DA6">
            <w:trPr>
              <w:trHeight w:val="315"/>
            </w:trPr>
            <w:sdt>
              <w:sdtPr>
                <w:rPr>
                  <w:rFonts w:ascii="Arial" w:eastAsia="Arial" w:hAnsi="Arial" w:cs="Arial"/>
                  <w:sz w:val="24"/>
                  <w:szCs w:val="24"/>
                  <w:lang w:val="es" w:eastAsia="es-CO"/>
                </w:rPr>
                <w:tag w:val="goog_rdk_154"/>
                <w:id w:val="1946583183"/>
                <w:lock w:val="contentLocked"/>
              </w:sdtPr>
              <w:sdtEndPr>
                <w:rPr>
                  <w:rFonts w:ascii="Calibri" w:eastAsia="Calibri" w:hAnsi="Calibri" w:cs="Calibri"/>
                  <w:sz w:val="22"/>
                  <w:szCs w:val="22"/>
                  <w:lang w:val="en-US" w:eastAsia="en-US"/>
                </w:rPr>
              </w:sdtEndPr>
              <w:sdtContent>
                <w:tc>
                  <w:tcPr>
                    <w:tcW w:w="4695" w:type="dxa"/>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ACTIVIDAD</w:t>
                    </w:r>
                  </w:p>
                </w:tc>
              </w:sdtContent>
            </w:sdt>
            <w:sdt>
              <w:sdtPr>
                <w:tag w:val="goog_rdk_155"/>
                <w:id w:val="1302146931"/>
                <w:lock w:val="contentLocked"/>
              </w:sdtPr>
              <w:sdtEndPr/>
              <w:sdtContent>
                <w:tc>
                  <w:tcPr>
                    <w:tcW w:w="73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2025</w:t>
                    </w:r>
                  </w:p>
                </w:tc>
              </w:sdtContent>
            </w:sdt>
            <w:sdt>
              <w:sdtPr>
                <w:tag w:val="goog_rdk_156"/>
                <w:id w:val="906507588"/>
                <w:lock w:val="contentLocked"/>
              </w:sdtPr>
              <w:sdtEndPr/>
              <w:sdtContent>
                <w:tc>
                  <w:tcPr>
                    <w:tcW w:w="82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CONTRATADO 2025</w:t>
                    </w:r>
                  </w:p>
                </w:tc>
              </w:sdtContent>
            </w:sdt>
            <w:sdt>
              <w:sdtPr>
                <w:tag w:val="goog_rdk_157"/>
                <w:id w:val="-1425844887"/>
                <w:lock w:val="contentLocked"/>
              </w:sdtPr>
              <w:sdtEndPr/>
              <w:sdtContent>
                <w:tc>
                  <w:tcPr>
                    <w:tcW w:w="75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2025 GIROS</w:t>
                    </w:r>
                  </w:p>
                </w:tc>
              </w:sdtContent>
            </w:sdt>
            <w:sdt>
              <w:sdtPr>
                <w:tag w:val="goog_rdk_158"/>
                <w:id w:val="1432614469"/>
                <w:lock w:val="contentLocked"/>
              </w:sdtPr>
              <w:sdtEndPr/>
              <w:sdtContent>
                <w:tc>
                  <w:tcPr>
                    <w:tcW w:w="75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2026</w:t>
                    </w:r>
                  </w:p>
                </w:tc>
              </w:sdtContent>
            </w:sdt>
            <w:sdt>
              <w:sdtPr>
                <w:tag w:val="goog_rdk_159"/>
                <w:id w:val="842530280"/>
                <w:lock w:val="contentLocked"/>
              </w:sdtPr>
              <w:sdtEndPr/>
              <w:sdtContent>
                <w:tc>
                  <w:tcPr>
                    <w:tcW w:w="1065" w:type="dxa"/>
                    <w:tcBorders>
                      <w:top w:val="single" w:sz="7" w:space="0" w:color="000000"/>
                      <w:left w:val="single" w:sz="7" w:space="0" w:color="CCCCCC"/>
                      <w:bottom w:val="single" w:sz="7" w:space="0" w:color="9CC2E5"/>
                      <w:right w:val="single" w:sz="7" w:space="0" w:color="000000"/>
                    </w:tcBorders>
                    <w:shd w:val="clear" w:color="auto" w:fill="D9D9D9"/>
                    <w:tcMar>
                      <w:top w:w="40" w:type="dxa"/>
                      <w:left w:w="0" w:type="dxa"/>
                      <w:bottom w:w="40" w:type="dxa"/>
                      <w:right w:w="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DIFERENCIA PRESUPUESTO 2025 - 2026</w:t>
                    </w:r>
                  </w:p>
                </w:tc>
              </w:sdtContent>
            </w:sdt>
          </w:tr>
          <w:tr w:rsidR="00743DA6">
            <w:trPr>
              <w:trHeight w:val="1170"/>
            </w:trPr>
            <w:sdt>
              <w:sdtPr>
                <w:tag w:val="goog_rdk_160"/>
                <w:id w:val="648400914"/>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Desarrollar 5 Investigación(es) para entender la adaptación de la especies en el Tropicario</w:t>
                    </w:r>
                  </w:p>
                </w:tc>
              </w:sdtContent>
            </w:sdt>
            <w:sdt>
              <w:sdtPr>
                <w:tag w:val="goog_rdk_161"/>
                <w:id w:val="1314304343"/>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$ 435</w:t>
                    </w:r>
                  </w:p>
                </w:tc>
              </w:sdtContent>
            </w:sdt>
            <w:sdt>
              <w:sdtPr>
                <w:tag w:val="goog_rdk_162"/>
                <w:id w:val="-1118996772"/>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$ 272</w:t>
                    </w:r>
                  </w:p>
                </w:tc>
              </w:sdtContent>
            </w:sdt>
            <w:sdt>
              <w:sdtPr>
                <w:tag w:val="goog_rdk_163"/>
                <w:id w:val="-120497865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$ 161</w:t>
                    </w:r>
                  </w:p>
                </w:tc>
              </w:sdtContent>
            </w:sdt>
            <w:sdt>
              <w:sdtPr>
                <w:tag w:val="goog_rdk_164"/>
                <w:id w:val="438205100"/>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$ 155</w:t>
                    </w:r>
                  </w:p>
                </w:tc>
              </w:sdtContent>
            </w:sdt>
            <w:sdt>
              <w:sdtPr>
                <w:tag w:val="goog_rdk_165"/>
                <w:id w:val="-760285603"/>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-$ 280</w:t>
                    </w:r>
                  </w:p>
                </w:tc>
              </w:sdtContent>
            </w:sdt>
          </w:tr>
          <w:tr w:rsidR="00743DA6">
            <w:trPr>
              <w:trHeight w:val="1035"/>
            </w:trPr>
            <w:sdt>
              <w:sdtPr>
                <w:tag w:val="goog_rdk_166"/>
                <w:id w:val="-237318388"/>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Realizar 5 Documento(s) técnicos dobre el estado de enriquecimiento de la colección viva del tropicario</w:t>
                    </w:r>
                  </w:p>
                </w:tc>
              </w:sdtContent>
            </w:sdt>
            <w:sdt>
              <w:sdtPr>
                <w:tag w:val="goog_rdk_167"/>
                <w:id w:val="-364841000"/>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$ 423</w:t>
                    </w:r>
                  </w:p>
                </w:tc>
              </w:sdtContent>
            </w:sdt>
            <w:sdt>
              <w:sdtPr>
                <w:tag w:val="goog_rdk_168"/>
                <w:id w:val="384932558"/>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$ 368</w:t>
                    </w:r>
                  </w:p>
                </w:tc>
              </w:sdtContent>
            </w:sdt>
            <w:sdt>
              <w:sdtPr>
                <w:tag w:val="goog_rdk_169"/>
                <w:id w:val="-1929052067"/>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$ 265</w:t>
                    </w:r>
                  </w:p>
                </w:tc>
              </w:sdtContent>
            </w:sdt>
            <w:sdt>
              <w:sdtPr>
                <w:tag w:val="goog_rdk_170"/>
                <w:id w:val="152407265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$ 285</w:t>
                    </w:r>
                  </w:p>
                </w:tc>
              </w:sdtContent>
            </w:sdt>
            <w:sdt>
              <w:sdtPr>
                <w:tag w:val="goog_rdk_171"/>
                <w:id w:val="-831213545"/>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-$ 138</w:t>
                    </w:r>
                  </w:p>
                </w:tc>
              </w:sdtContent>
            </w:sdt>
          </w:tr>
          <w:tr w:rsidR="00743DA6">
            <w:trPr>
              <w:trHeight w:val="780"/>
            </w:trPr>
            <w:sdt>
              <w:sdtPr>
                <w:tag w:val="goog_rdk_172"/>
                <w:id w:val="895277700"/>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Dotar y mantener 1 Estación(es) de investigaciòn del tropicario</w:t>
                    </w:r>
                  </w:p>
                </w:tc>
              </w:sdtContent>
            </w:sdt>
            <w:sdt>
              <w:sdtPr>
                <w:tag w:val="goog_rdk_173"/>
                <w:id w:val="1669193498"/>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$ 1,073</w:t>
                    </w:r>
                  </w:p>
                </w:tc>
              </w:sdtContent>
            </w:sdt>
            <w:sdt>
              <w:sdtPr>
                <w:tag w:val="goog_rdk_174"/>
                <w:id w:val="-1398172585"/>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$ 743</w:t>
                    </w:r>
                  </w:p>
                </w:tc>
              </w:sdtContent>
            </w:sdt>
            <w:sdt>
              <w:sdtPr>
                <w:tag w:val="goog_rdk_175"/>
                <w:id w:val="-21920665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$ 366</w:t>
                    </w:r>
                  </w:p>
                </w:tc>
              </w:sdtContent>
            </w:sdt>
            <w:sdt>
              <w:sdtPr>
                <w:tag w:val="goog_rdk_176"/>
                <w:id w:val="-825384653"/>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$ 1,360</w:t>
                    </w:r>
                  </w:p>
                </w:tc>
              </w:sdtContent>
            </w:sdt>
            <w:sdt>
              <w:sdtPr>
                <w:tag w:val="goog_rdk_177"/>
                <w:id w:val="-1581313430"/>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$ 287</w:t>
                    </w:r>
                  </w:p>
                </w:tc>
              </w:sdtContent>
            </w:sdt>
          </w:tr>
          <w:tr w:rsidR="00743DA6">
            <w:trPr>
              <w:trHeight w:val="723"/>
            </w:trPr>
            <w:sdt>
              <w:sdtPr>
                <w:tag w:val="goog_rdk_178"/>
                <w:id w:val="-1185924522"/>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Desarrollar 21 Investigación(es) asociadas al inventario florístico del Distrito</w:t>
                    </w:r>
                  </w:p>
                </w:tc>
              </w:sdtContent>
            </w:sdt>
            <w:sdt>
              <w:sdtPr>
                <w:tag w:val="goog_rdk_179"/>
                <w:id w:val="147120133"/>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$ 528</w:t>
                    </w:r>
                  </w:p>
                </w:tc>
              </w:sdtContent>
            </w:sdt>
            <w:sdt>
              <w:sdtPr>
                <w:tag w:val="goog_rdk_180"/>
                <w:id w:val="1259822597"/>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$ 513</w:t>
                    </w:r>
                  </w:p>
                </w:tc>
              </w:sdtContent>
            </w:sdt>
            <w:sdt>
              <w:sdtPr>
                <w:tag w:val="goog_rdk_181"/>
                <w:id w:val="85747965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$ 336</w:t>
                    </w:r>
                  </w:p>
                </w:tc>
              </w:sdtContent>
            </w:sdt>
            <w:sdt>
              <w:sdtPr>
                <w:tag w:val="goog_rdk_182"/>
                <w:id w:val="-2069610397"/>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$ 538</w:t>
                    </w:r>
                  </w:p>
                </w:tc>
              </w:sdtContent>
            </w:sdt>
            <w:sdt>
              <w:sdtPr>
                <w:tag w:val="goog_rdk_183"/>
                <w:id w:val="-1495259505"/>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w:t>
                    </w:r>
                  </w:p>
                </w:tc>
              </w:sdtContent>
            </w:sdt>
          </w:tr>
          <w:tr w:rsidR="00743DA6">
            <w:trPr>
              <w:trHeight w:val="570"/>
            </w:trPr>
            <w:sdt>
              <w:sdtPr>
                <w:tag w:val="goog_rdk_184"/>
                <w:id w:val="-1858558880"/>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Desarrollar 21 Investigación(es) que aporten al conocimiento sobre el cambio climàtico en Bogotà D.C.</w:t>
                    </w:r>
                  </w:p>
                </w:tc>
              </w:sdtContent>
            </w:sdt>
            <w:sdt>
              <w:sdtPr>
                <w:tag w:val="goog_rdk_185"/>
                <w:id w:val="-2039000159"/>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$ 320</w:t>
                    </w:r>
                  </w:p>
                </w:tc>
              </w:sdtContent>
            </w:sdt>
            <w:sdt>
              <w:sdtPr>
                <w:tag w:val="goog_rdk_186"/>
                <w:id w:val="-196849402"/>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$ 310</w:t>
                    </w:r>
                  </w:p>
                </w:tc>
              </w:sdtContent>
            </w:sdt>
            <w:sdt>
              <w:sdtPr>
                <w:tag w:val="goog_rdk_187"/>
                <w:id w:val="-1669233393"/>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$ 199</w:t>
                    </w:r>
                  </w:p>
                </w:tc>
              </w:sdtContent>
            </w:sdt>
            <w:sdt>
              <w:sdtPr>
                <w:tag w:val="goog_rdk_188"/>
                <w:id w:val="135430668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$ 361</w:t>
                    </w:r>
                  </w:p>
                </w:tc>
              </w:sdtContent>
            </w:sdt>
            <w:sdt>
              <w:sdtPr>
                <w:tag w:val="goog_rdk_189"/>
                <w:id w:val="1089481214"/>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$ 40</w:t>
                    </w:r>
                  </w:p>
                </w:tc>
              </w:sdtContent>
            </w:sdt>
          </w:tr>
          <w:tr w:rsidR="00743DA6">
            <w:trPr>
              <w:trHeight w:val="690"/>
            </w:trPr>
            <w:sdt>
              <w:sdtPr>
                <w:tag w:val="goog_rdk_190"/>
                <w:id w:val="1456933181"/>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Realizar 21 Investigación(es) sobre la fauna prioritaria asociada a la flora del DC</w:t>
                    </w:r>
                  </w:p>
                </w:tc>
              </w:sdtContent>
            </w:sdt>
            <w:sdt>
              <w:sdtPr>
                <w:tag w:val="goog_rdk_191"/>
                <w:id w:val="-267238815"/>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$ 459</w:t>
                    </w:r>
                  </w:p>
                </w:tc>
              </w:sdtContent>
            </w:sdt>
            <w:sdt>
              <w:sdtPr>
                <w:tag w:val="goog_rdk_192"/>
                <w:id w:val="803870311"/>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$ 378</w:t>
                    </w:r>
                  </w:p>
                </w:tc>
              </w:sdtContent>
            </w:sdt>
            <w:sdt>
              <w:sdtPr>
                <w:tag w:val="goog_rdk_193"/>
                <w:id w:val="-138041286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$ 199</w:t>
                    </w:r>
                  </w:p>
                </w:tc>
              </w:sdtContent>
            </w:sdt>
            <w:sdt>
              <w:sdtPr>
                <w:tag w:val="goog_rdk_194"/>
                <w:id w:val="16022515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$ 316</w:t>
                    </w:r>
                  </w:p>
                </w:tc>
              </w:sdtContent>
            </w:sdt>
            <w:sdt>
              <w:sdtPr>
                <w:tag w:val="goog_rdk_195"/>
                <w:id w:val="-1002222018"/>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-$ 143</w:t>
                    </w:r>
                  </w:p>
                </w:tc>
              </w:sdtContent>
            </w:sdt>
          </w:tr>
          <w:tr w:rsidR="00743DA6">
            <w:trPr>
              <w:trHeight w:val="780"/>
            </w:trPr>
            <w:sdt>
              <w:sdtPr>
                <w:tag w:val="goog_rdk_196"/>
                <w:id w:val="1788110038"/>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Desarrollar 47 Investigación(es) a travès de los bancos de germoplasma Ex situ del JBB</w:t>
                    </w:r>
                  </w:p>
                </w:tc>
              </w:sdtContent>
            </w:sdt>
            <w:sdt>
              <w:sdtPr>
                <w:tag w:val="goog_rdk_197"/>
                <w:id w:val="-1968448576"/>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$ 1,017</w:t>
                    </w:r>
                  </w:p>
                </w:tc>
              </w:sdtContent>
            </w:sdt>
            <w:sdt>
              <w:sdtPr>
                <w:tag w:val="goog_rdk_198"/>
                <w:id w:val="-1240747939"/>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$ 985</w:t>
                    </w:r>
                  </w:p>
                </w:tc>
              </w:sdtContent>
            </w:sdt>
            <w:sdt>
              <w:sdtPr>
                <w:tag w:val="goog_rdk_199"/>
                <w:id w:val="-49162082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$ 614</w:t>
                    </w:r>
                  </w:p>
                </w:tc>
              </w:sdtContent>
            </w:sdt>
            <w:sdt>
              <w:sdtPr>
                <w:tag w:val="goog_rdk_200"/>
                <w:id w:val="-1814272100"/>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$ 1,092</w:t>
                    </w:r>
                  </w:p>
                </w:tc>
              </w:sdtContent>
            </w:sdt>
            <w:sdt>
              <w:sdtPr>
                <w:tag w:val="goog_rdk_201"/>
                <w:id w:val="1786826031"/>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$ 75</w:t>
                    </w:r>
                  </w:p>
                </w:tc>
              </w:sdtContent>
            </w:sdt>
          </w:tr>
          <w:tr w:rsidR="00743DA6">
            <w:trPr>
              <w:trHeight w:val="825"/>
            </w:trPr>
            <w:sdt>
              <w:sdtPr>
                <w:tag w:val="goog_rdk_202"/>
                <w:id w:val="-30502491"/>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5 - Desarrollar 3 Investigación(es) sobre los efectos de la naturaleza en la salud mental y física de las personas</w:t>
                    </w:r>
                  </w:p>
                </w:tc>
              </w:sdtContent>
            </w:sdt>
            <w:sdt>
              <w:sdtPr>
                <w:tag w:val="goog_rdk_203"/>
                <w:id w:val="-1735397745"/>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$ 62</w:t>
                    </w:r>
                  </w:p>
                </w:tc>
              </w:sdtContent>
            </w:sdt>
            <w:sdt>
              <w:sdtPr>
                <w:tag w:val="goog_rdk_204"/>
                <w:id w:val="-43557556"/>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$ 49</w:t>
                    </w:r>
                  </w:p>
                </w:tc>
              </w:sdtContent>
            </w:sdt>
            <w:sdt>
              <w:sdtPr>
                <w:tag w:val="goog_rdk_205"/>
                <w:id w:val="172288115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$ 25</w:t>
                    </w:r>
                  </w:p>
                </w:tc>
              </w:sdtContent>
            </w:sdt>
            <w:sdt>
              <w:sdtPr>
                <w:tag w:val="goog_rdk_206"/>
                <w:id w:val="-29761065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$ 42</w:t>
                    </w:r>
                  </w:p>
                </w:tc>
              </w:sdtContent>
            </w:sdt>
            <w:sdt>
              <w:sdtPr>
                <w:tag w:val="goog_rdk_207"/>
                <w:id w:val="-419551490"/>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w:t>
                    </w:r>
                  </w:p>
                </w:tc>
              </w:sdtContent>
            </w:sdt>
          </w:tr>
          <w:tr w:rsidR="00743DA6">
            <w:trPr>
              <w:trHeight w:val="660"/>
            </w:trPr>
            <w:sdt>
              <w:sdtPr>
                <w:tag w:val="goog_rdk_208"/>
                <w:id w:val="-1123330138"/>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6 - Desarrollar 21 Investigación(es) sobre ecologìa de restauraciòn en el D.C.</w:t>
                    </w:r>
                  </w:p>
                </w:tc>
              </w:sdtContent>
            </w:sdt>
            <w:sdt>
              <w:sdtPr>
                <w:tag w:val="goog_rdk_209"/>
                <w:id w:val="1148191966"/>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$ 387</w:t>
                    </w:r>
                  </w:p>
                </w:tc>
              </w:sdtContent>
            </w:sdt>
            <w:sdt>
              <w:sdtPr>
                <w:tag w:val="goog_rdk_210"/>
                <w:id w:val="967657464"/>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$ 371</w:t>
                    </w:r>
                  </w:p>
                </w:tc>
              </w:sdtContent>
            </w:sdt>
            <w:sdt>
              <w:sdtPr>
                <w:tag w:val="goog_rdk_211"/>
                <w:id w:val="-97059217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$ 240</w:t>
                    </w:r>
                  </w:p>
                </w:tc>
              </w:sdtContent>
            </w:sdt>
            <w:sdt>
              <w:sdtPr>
                <w:tag w:val="goog_rdk_212"/>
                <w:id w:val="177130796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$ 392</w:t>
                    </w:r>
                  </w:p>
                </w:tc>
              </w:sdtContent>
            </w:sdt>
            <w:sdt>
              <w:sdtPr>
                <w:tag w:val="goog_rdk_213"/>
                <w:id w:val="-2125814708"/>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w:t>
                    </w:r>
                  </w:p>
                </w:tc>
              </w:sdtContent>
            </w:sdt>
          </w:tr>
          <w:tr w:rsidR="00743DA6">
            <w:trPr>
              <w:trHeight w:val="1005"/>
            </w:trPr>
            <w:sdt>
              <w:sdtPr>
                <w:tag w:val="goog_rdk_214"/>
                <w:id w:val="421607103"/>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7 - Desarrollar 24 Investigación(es) sobre los recursos fitogenèticos priorizados en el DC</w:t>
                    </w:r>
                  </w:p>
                </w:tc>
              </w:sdtContent>
            </w:sdt>
            <w:sdt>
              <w:sdtPr>
                <w:tag w:val="goog_rdk_215"/>
                <w:id w:val="1597568458"/>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$ 466</w:t>
                    </w:r>
                  </w:p>
                </w:tc>
              </w:sdtContent>
            </w:sdt>
            <w:sdt>
              <w:sdtPr>
                <w:tag w:val="goog_rdk_216"/>
                <w:id w:val="1852196290"/>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$ 425</w:t>
                    </w:r>
                  </w:p>
                </w:tc>
              </w:sdtContent>
            </w:sdt>
            <w:sdt>
              <w:sdtPr>
                <w:tag w:val="goog_rdk_217"/>
                <w:id w:val="-17963133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$ 232</w:t>
                    </w:r>
                  </w:p>
                </w:tc>
              </w:sdtContent>
            </w:sdt>
            <w:sdt>
              <w:sdtPr>
                <w:tag w:val="goog_rdk_218"/>
                <w:id w:val="-166388786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$ 426</w:t>
                    </w:r>
                  </w:p>
                </w:tc>
              </w:sdtContent>
            </w:sdt>
            <w:sdt>
              <w:sdtPr>
                <w:tag w:val="goog_rdk_219"/>
                <w:id w:val="-1361280680"/>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-$ 40</w:t>
                    </w:r>
                  </w:p>
                </w:tc>
              </w:sdtContent>
            </w:sdt>
          </w:tr>
          <w:tr w:rsidR="00743DA6">
            <w:trPr>
              <w:trHeight w:val="450"/>
            </w:trPr>
            <w:sdt>
              <w:sdtPr>
                <w:tag w:val="goog_rdk_220"/>
                <w:id w:val="1158456440"/>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8 - Realizar 5 Documento(s) para la gestiòn del conocimiento sobre la flora del D.C. producidos por el centro de investigaciòn del JBB</w:t>
                    </w:r>
                  </w:p>
                </w:tc>
              </w:sdtContent>
            </w:sdt>
            <w:sdt>
              <w:sdtPr>
                <w:tag w:val="goog_rdk_221"/>
                <w:id w:val="-642182510"/>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$ 1,371</w:t>
                    </w:r>
                  </w:p>
                </w:tc>
              </w:sdtContent>
            </w:sdt>
            <w:sdt>
              <w:sdtPr>
                <w:tag w:val="goog_rdk_222"/>
                <w:id w:val="1750147282"/>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$ 1,178</w:t>
                    </w:r>
                  </w:p>
                </w:tc>
              </w:sdtContent>
            </w:sdt>
            <w:sdt>
              <w:sdtPr>
                <w:tag w:val="goog_rdk_223"/>
                <w:id w:val="-15580716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$ 764</w:t>
                    </w:r>
                  </w:p>
                </w:tc>
              </w:sdtContent>
            </w:sdt>
            <w:sdt>
              <w:sdtPr>
                <w:tag w:val="goog_rdk_224"/>
                <w:id w:val="-8450851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$ 1,146</w:t>
                    </w:r>
                  </w:p>
                </w:tc>
              </w:sdtContent>
            </w:sdt>
            <w:sdt>
              <w:sdtPr>
                <w:tag w:val="goog_rdk_225"/>
                <w:id w:val="215110286"/>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-$ 226</w:t>
                    </w:r>
                  </w:p>
                </w:tc>
              </w:sdtContent>
            </w:sdt>
          </w:tr>
          <w:tr w:rsidR="00743DA6">
            <w:trPr>
              <w:trHeight w:val="945"/>
            </w:trPr>
            <w:sdt>
              <w:sdtPr>
                <w:tag w:val="goog_rdk_226"/>
                <w:id w:val="418101873"/>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Capacitar 20000 Persona(s) en técnicas y tecnologías agroecológicas para la producción en huertas urbanas y periurbanas y promoción del consumo de alimentos sanos e inocuos</w:t>
                    </w:r>
                  </w:p>
                </w:tc>
              </w:sdtContent>
            </w:sdt>
            <w:sdt>
              <w:sdtPr>
                <w:tag w:val="goog_rdk_227"/>
                <w:id w:val="-1038662310"/>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$ 680</w:t>
                    </w:r>
                  </w:p>
                </w:tc>
              </w:sdtContent>
            </w:sdt>
            <w:sdt>
              <w:sdtPr>
                <w:tag w:val="goog_rdk_228"/>
                <w:id w:val="687088457"/>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$ 680</w:t>
                    </w:r>
                  </w:p>
                </w:tc>
              </w:sdtContent>
            </w:sdt>
            <w:sdt>
              <w:sdtPr>
                <w:tag w:val="goog_rdk_229"/>
                <w:id w:val="1544777933"/>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$ 451</w:t>
                    </w:r>
                  </w:p>
                </w:tc>
              </w:sdtContent>
            </w:sdt>
            <w:sdt>
              <w:sdtPr>
                <w:tag w:val="goog_rdk_230"/>
                <w:id w:val="181903097"/>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$ 700</w:t>
                    </w:r>
                  </w:p>
                </w:tc>
              </w:sdtContent>
            </w:sdt>
            <w:sdt>
              <w:sdtPr>
                <w:tag w:val="goog_rdk_231"/>
                <w:id w:val="116951235"/>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w:t>
                    </w:r>
                  </w:p>
                </w:tc>
              </w:sdtContent>
            </w:sdt>
          </w:tr>
          <w:tr w:rsidR="00743DA6">
            <w:trPr>
              <w:trHeight w:val="855"/>
            </w:trPr>
            <w:sdt>
              <w:sdtPr>
                <w:tag w:val="goog_rdk_232"/>
                <w:id w:val="-382102170"/>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Asistir 25000 Huerta(s) técnicamente y/o con transferencia tecnológica para la producción en huertas urbanas y periurbanas</w:t>
                    </w:r>
                  </w:p>
                </w:tc>
              </w:sdtContent>
            </w:sdt>
            <w:sdt>
              <w:sdtPr>
                <w:tag w:val="goog_rdk_233"/>
                <w:id w:val="2012004201"/>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$ 519</w:t>
                    </w:r>
                  </w:p>
                </w:tc>
              </w:sdtContent>
            </w:sdt>
            <w:sdt>
              <w:sdtPr>
                <w:tag w:val="goog_rdk_234"/>
                <w:id w:val="-864819483"/>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$ 519</w:t>
                    </w:r>
                  </w:p>
                </w:tc>
              </w:sdtContent>
            </w:sdt>
            <w:sdt>
              <w:sdtPr>
                <w:tag w:val="goog_rdk_235"/>
                <w:id w:val="432940377"/>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$ 341</w:t>
                    </w:r>
                  </w:p>
                </w:tc>
              </w:sdtContent>
            </w:sdt>
            <w:sdt>
              <w:sdtPr>
                <w:tag w:val="goog_rdk_236"/>
                <w:id w:val="1743932413"/>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$ 629</w:t>
                    </w:r>
                  </w:p>
                </w:tc>
              </w:sdtContent>
            </w:sdt>
            <w:sdt>
              <w:sdtPr>
                <w:tag w:val="goog_rdk_237"/>
                <w:id w:val="-184800706"/>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$ 110</w:t>
                    </w:r>
                  </w:p>
                </w:tc>
              </w:sdtContent>
            </w:sdt>
          </w:tr>
          <w:tr w:rsidR="00743DA6">
            <w:trPr>
              <w:trHeight w:val="945"/>
            </w:trPr>
            <w:sdt>
              <w:sdtPr>
                <w:tag w:val="goog_rdk_238"/>
                <w:id w:val="1381882379"/>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Fortalecer 15000 Huerta(s) urbanas y periurbanas con el suministro de semillas, insumos y/o herramientas básicas para el mejoramiento productivo</w:t>
                    </w:r>
                  </w:p>
                </w:tc>
              </w:sdtContent>
            </w:sdt>
            <w:sdt>
              <w:sdtPr>
                <w:tag w:val="goog_rdk_239"/>
                <w:id w:val="-1075834213"/>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$ 1,872</w:t>
                    </w:r>
                  </w:p>
                </w:tc>
              </w:sdtContent>
            </w:sdt>
            <w:sdt>
              <w:sdtPr>
                <w:tag w:val="goog_rdk_240"/>
                <w:id w:val="1638899974"/>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$ 1,454</w:t>
                    </w:r>
                  </w:p>
                </w:tc>
              </w:sdtContent>
            </w:sdt>
            <w:sdt>
              <w:sdtPr>
                <w:tag w:val="goog_rdk_241"/>
                <w:id w:val="174735128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$ 921</w:t>
                    </w:r>
                  </w:p>
                </w:tc>
              </w:sdtContent>
            </w:sdt>
            <w:sdt>
              <w:sdtPr>
                <w:tag w:val="goog_rdk_242"/>
                <w:id w:val="-36512947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$ 1,564</w:t>
                    </w:r>
                  </w:p>
                </w:tc>
              </w:sdtContent>
            </w:sdt>
            <w:sdt>
              <w:sdtPr>
                <w:tag w:val="goog_rdk_243"/>
                <w:id w:val="-1456922804"/>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-$ 308</w:t>
                    </w:r>
                  </w:p>
                </w:tc>
              </w:sdtContent>
            </w:sdt>
          </w:tr>
          <w:tr w:rsidR="00743DA6">
            <w:trPr>
              <w:trHeight w:val="1020"/>
            </w:trPr>
            <w:sdt>
              <w:sdtPr>
                <w:tag w:val="goog_rdk_244"/>
                <w:id w:val="1111236674"/>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Fortalecer 1 Estrategia(s) de promoción y comercialización de productos de la agricultura urbana y periurbana articulada a mercados campesinos</w:t>
                    </w:r>
                  </w:p>
                </w:tc>
              </w:sdtContent>
            </w:sdt>
            <w:sdt>
              <w:sdtPr>
                <w:tag w:val="goog_rdk_245"/>
                <w:id w:val="1009373821"/>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$ 324</w:t>
                    </w:r>
                  </w:p>
                </w:tc>
              </w:sdtContent>
            </w:sdt>
            <w:sdt>
              <w:sdtPr>
                <w:tag w:val="goog_rdk_246"/>
                <w:id w:val="-43096207"/>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$ 322</w:t>
                    </w:r>
                  </w:p>
                </w:tc>
              </w:sdtContent>
            </w:sdt>
            <w:sdt>
              <w:sdtPr>
                <w:tag w:val="goog_rdk_247"/>
                <w:id w:val="-79295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$ 218</w:t>
                    </w:r>
                  </w:p>
                </w:tc>
              </w:sdtContent>
            </w:sdt>
            <w:sdt>
              <w:sdtPr>
                <w:tag w:val="goog_rdk_248"/>
                <w:id w:val="-165061433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$ 308</w:t>
                    </w:r>
                  </w:p>
                </w:tc>
              </w:sdtContent>
            </w:sdt>
            <w:sdt>
              <w:sdtPr>
                <w:tag w:val="goog_rdk_249"/>
                <w:id w:val="1485025233"/>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w:t>
                    </w:r>
                  </w:p>
                </w:tc>
              </w:sdtContent>
            </w:sdt>
          </w:tr>
          <w:tr w:rsidR="00743DA6">
            <w:trPr>
              <w:trHeight w:val="1170"/>
            </w:trPr>
            <w:sdt>
              <w:sdtPr>
                <w:tag w:val="goog_rdk_250"/>
                <w:id w:val="-268287935"/>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5 - Fortalecer 19 Red(es) locales y la red Distrital de agricultores urbanos y periurbanos, como espacios organizativos de gestión comunitaria e intercambio de saberes y experiencia</w:t>
                    </w:r>
                  </w:p>
                </w:tc>
              </w:sdtContent>
            </w:sdt>
            <w:sdt>
              <w:sdtPr>
                <w:tag w:val="goog_rdk_251"/>
                <w:id w:val="-1984948424"/>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$ 213</w:t>
                    </w:r>
                  </w:p>
                </w:tc>
              </w:sdtContent>
            </w:sdt>
            <w:sdt>
              <w:sdtPr>
                <w:tag w:val="goog_rdk_252"/>
                <w:id w:val="1817193139"/>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$ 213</w:t>
                    </w:r>
                  </w:p>
                </w:tc>
              </w:sdtContent>
            </w:sdt>
            <w:sdt>
              <w:sdtPr>
                <w:tag w:val="goog_rdk_253"/>
                <w:id w:val="31483255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$ 143</w:t>
                    </w:r>
                  </w:p>
                </w:tc>
              </w:sdtContent>
            </w:sdt>
            <w:sdt>
              <w:sdtPr>
                <w:tag w:val="goog_rdk_254"/>
                <w:id w:val="-87827483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$ 225</w:t>
                    </w:r>
                  </w:p>
                </w:tc>
              </w:sdtContent>
            </w:sdt>
            <w:sdt>
              <w:sdtPr>
                <w:tag w:val="goog_rdk_255"/>
                <w:id w:val="163186942"/>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w:t>
                    </w:r>
                  </w:p>
                </w:tc>
              </w:sdtContent>
            </w:sdt>
          </w:tr>
          <w:tr w:rsidR="00743DA6">
            <w:trPr>
              <w:trHeight w:val="960"/>
            </w:trPr>
            <w:sdt>
              <w:sdtPr>
                <w:tag w:val="goog_rdk_256"/>
                <w:id w:val="-888947614"/>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6 - Fortalecer 100 Porciento de la estrategia de rutas agroecológicas en torno a huertas autosostenibles de la ciudad-región</w:t>
                    </w:r>
                  </w:p>
                </w:tc>
              </w:sdtContent>
            </w:sdt>
            <w:sdt>
              <w:sdtPr>
                <w:tag w:val="goog_rdk_257"/>
                <w:id w:val="749175248"/>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$ 185</w:t>
                    </w:r>
                  </w:p>
                </w:tc>
              </w:sdtContent>
            </w:sdt>
            <w:sdt>
              <w:sdtPr>
                <w:tag w:val="goog_rdk_258"/>
                <w:id w:val="-243768970"/>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$ 185</w:t>
                    </w:r>
                  </w:p>
                </w:tc>
              </w:sdtContent>
            </w:sdt>
            <w:sdt>
              <w:sdtPr>
                <w:tag w:val="goog_rdk_259"/>
                <w:id w:val="87337502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$ 132</w:t>
                    </w:r>
                  </w:p>
                </w:tc>
              </w:sdtContent>
            </w:sdt>
            <w:sdt>
              <w:sdtPr>
                <w:tag w:val="goog_rdk_260"/>
                <w:id w:val="-4359490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$ 186</w:t>
                    </w:r>
                  </w:p>
                </w:tc>
              </w:sdtContent>
            </w:sdt>
            <w:sdt>
              <w:sdtPr>
                <w:tag w:val="goog_rdk_261"/>
                <w:id w:val="-762057309"/>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w:t>
                    </w:r>
                  </w:p>
                </w:tc>
              </w:sdtContent>
            </w:sdt>
          </w:tr>
          <w:tr w:rsidR="00743DA6">
            <w:trPr>
              <w:trHeight w:val="765"/>
            </w:trPr>
            <w:sdt>
              <w:sdtPr>
                <w:tag w:val="goog_rdk_262"/>
                <w:id w:val="-1059339318"/>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7 - Consolidar 20 Banco(s) de semillas agroecológicas de semillas en el Distrito</w:t>
                    </w:r>
                  </w:p>
                </w:tc>
              </w:sdtContent>
            </w:sdt>
            <w:sdt>
              <w:sdtPr>
                <w:tag w:val="goog_rdk_263"/>
                <w:id w:val="-2094687520"/>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$ 134</w:t>
                    </w:r>
                  </w:p>
                </w:tc>
              </w:sdtContent>
            </w:sdt>
            <w:sdt>
              <w:sdtPr>
                <w:tag w:val="goog_rdk_264"/>
                <w:id w:val="449290780"/>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$ 134</w:t>
                    </w:r>
                  </w:p>
                </w:tc>
              </w:sdtContent>
            </w:sdt>
            <w:sdt>
              <w:sdtPr>
                <w:tag w:val="goog_rdk_265"/>
                <w:id w:val="-148801370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$ 91</w:t>
                    </w:r>
                  </w:p>
                </w:tc>
              </w:sdtContent>
            </w:sdt>
            <w:sdt>
              <w:sdtPr>
                <w:tag w:val="goog_rdk_266"/>
                <w:id w:val="-5396410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$ 129</w:t>
                    </w:r>
                  </w:p>
                </w:tc>
              </w:sdtContent>
            </w:sdt>
            <w:sdt>
              <w:sdtPr>
                <w:tag w:val="goog_rdk_267"/>
                <w:id w:val="-1318328571"/>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w:t>
                    </w:r>
                  </w:p>
                </w:tc>
              </w:sdtContent>
            </w:sdt>
          </w:tr>
          <w:tr w:rsidR="00743DA6">
            <w:trPr>
              <w:trHeight w:val="1410"/>
            </w:trPr>
            <w:sdt>
              <w:sdtPr>
                <w:tag w:val="goog_rdk_268"/>
                <w:id w:val="446073610"/>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8 - Producir 4 Publicación(es) para la promoción y fortalecimiento de la agricultura urbana y periurbana</w:t>
                    </w:r>
                  </w:p>
                </w:tc>
              </w:sdtContent>
            </w:sdt>
            <w:sdt>
              <w:sdtPr>
                <w:tag w:val="goog_rdk_269"/>
                <w:id w:val="-351689006"/>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$ 34</w:t>
                    </w:r>
                  </w:p>
                </w:tc>
              </w:sdtContent>
            </w:sdt>
            <w:sdt>
              <w:sdtPr>
                <w:tag w:val="goog_rdk_270"/>
                <w:id w:val="-1137400662"/>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w:t>
                    </w:r>
                  </w:p>
                </w:tc>
              </w:sdtContent>
            </w:sdt>
            <w:sdt>
              <w:sdtPr>
                <w:tag w:val="goog_rdk_271"/>
                <w:id w:val="181355592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w:t>
                    </w:r>
                  </w:p>
                </w:tc>
              </w:sdtContent>
            </w:sdt>
            <w:sdt>
              <w:sdtPr>
                <w:tag w:val="goog_rdk_272"/>
                <w:id w:val="-30075843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w:t>
                    </w:r>
                  </w:p>
                </w:tc>
              </w:sdtContent>
            </w:sdt>
            <w:sdt>
              <w:sdtPr>
                <w:tag w:val="goog_rdk_273"/>
                <w:id w:val="-1256286379"/>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w:t>
                    </w:r>
                  </w:p>
                </w:tc>
              </w:sdtContent>
            </w:sdt>
          </w:tr>
          <w:tr w:rsidR="00743DA6">
            <w:trPr>
              <w:trHeight w:val="1245"/>
            </w:trPr>
            <w:sdt>
              <w:sdtPr>
                <w:tag w:val="goog_rdk_274"/>
                <w:id w:val="-578423266"/>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9 - Fortalecer 100 Porciento de la coordinación interinstitucional para la promoción de la agricultura urbana y periurbana.</w:t>
                    </w:r>
                  </w:p>
                </w:tc>
              </w:sdtContent>
            </w:sdt>
            <w:sdt>
              <w:sdtPr>
                <w:tag w:val="goog_rdk_275"/>
                <w:id w:val="307646655"/>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$ 108</w:t>
                    </w:r>
                  </w:p>
                </w:tc>
              </w:sdtContent>
            </w:sdt>
            <w:sdt>
              <w:sdtPr>
                <w:tag w:val="goog_rdk_276"/>
                <w:id w:val="-206804685"/>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$ 106</w:t>
                    </w:r>
                  </w:p>
                </w:tc>
              </w:sdtContent>
            </w:sdt>
            <w:sdt>
              <w:sdtPr>
                <w:tag w:val="goog_rdk_277"/>
                <w:id w:val="15233721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$ 73</w:t>
                    </w:r>
                  </w:p>
                </w:tc>
              </w:sdtContent>
            </w:sdt>
            <w:sdt>
              <w:sdtPr>
                <w:tag w:val="goog_rdk_278"/>
                <w:id w:val="121153823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$ 104</w:t>
                    </w:r>
                  </w:p>
                </w:tc>
              </w:sdtContent>
            </w:sdt>
            <w:sdt>
              <w:sdtPr>
                <w:tag w:val="goog_rdk_279"/>
                <w:id w:val="-117832573"/>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w:t>
                    </w:r>
                  </w:p>
                </w:tc>
              </w:sdtContent>
            </w:sdt>
          </w:tr>
          <w:tr w:rsidR="00743DA6">
            <w:trPr>
              <w:trHeight w:val="975"/>
            </w:trPr>
            <w:sdt>
              <w:sdtPr>
                <w:tag w:val="goog_rdk_280"/>
                <w:id w:val="1474612890"/>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10 - Fortalecer 1 Agroparque(s) existente y generar un nuevo agroparque como estrategia de intervención territorial para el establecimiento de huertas comunitarias urbanas y periurbanas en el Distrito</w:t>
                    </w:r>
                  </w:p>
                </w:tc>
              </w:sdtContent>
            </w:sdt>
            <w:sdt>
              <w:sdtPr>
                <w:tag w:val="goog_rdk_281"/>
                <w:id w:val="1221050590"/>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w:t>
                    </w:r>
                  </w:p>
                </w:tc>
              </w:sdtContent>
            </w:sdt>
            <w:sdt>
              <w:sdtPr>
                <w:tag w:val="goog_rdk_282"/>
                <w:id w:val="-1022066336"/>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w:t>
                    </w:r>
                  </w:p>
                </w:tc>
              </w:sdtContent>
            </w:sdt>
            <w:sdt>
              <w:sdtPr>
                <w:tag w:val="goog_rdk_283"/>
                <w:id w:val="-120353742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w:t>
                    </w:r>
                  </w:p>
                </w:tc>
              </w:sdtContent>
            </w:sdt>
            <w:sdt>
              <w:sdtPr>
                <w:tag w:val="goog_rdk_284"/>
                <w:id w:val="-42413766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w:t>
                    </w:r>
                  </w:p>
                </w:tc>
              </w:sdtContent>
            </w:sdt>
            <w:sdt>
              <w:sdtPr>
                <w:tag w:val="goog_rdk_285"/>
                <w:id w:val="651165110"/>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$ 0</w:t>
                    </w:r>
                  </w:p>
                </w:tc>
              </w:sdtContent>
            </w:sdt>
          </w:tr>
          <w:tr w:rsidR="00743DA6">
            <w:trPr>
              <w:trHeight w:val="810"/>
            </w:trPr>
            <w:sdt>
              <w:sdtPr>
                <w:tag w:val="goog_rdk_286"/>
                <w:id w:val="-926481363"/>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11 - Implementar 100 Porciento del cluster entorno a huertas en transición agroecológica</w:t>
                    </w:r>
                  </w:p>
                </w:tc>
              </w:sdtContent>
            </w:sdt>
            <w:sdt>
              <w:sdtPr>
                <w:tag w:val="goog_rdk_287"/>
                <w:id w:val="2120155517"/>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$ 160</w:t>
                    </w:r>
                  </w:p>
                </w:tc>
              </w:sdtContent>
            </w:sdt>
            <w:sdt>
              <w:sdtPr>
                <w:tag w:val="goog_rdk_288"/>
                <w:id w:val="1742321391"/>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$ 160</w:t>
                    </w:r>
                  </w:p>
                </w:tc>
              </w:sdtContent>
            </w:sdt>
            <w:sdt>
              <w:sdtPr>
                <w:tag w:val="goog_rdk_289"/>
                <w:id w:val="-98166797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$ 104</w:t>
                    </w:r>
                  </w:p>
                </w:tc>
              </w:sdtContent>
            </w:sdt>
            <w:sdt>
              <w:sdtPr>
                <w:tag w:val="goog_rdk_290"/>
                <w:id w:val="-1887154850"/>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$ 171</w:t>
                    </w:r>
                  </w:p>
                </w:tc>
              </w:sdtContent>
            </w:sdt>
            <w:sdt>
              <w:sdtPr>
                <w:tag w:val="goog_rdk_291"/>
                <w:id w:val="1050931339"/>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w:t>
                    </w:r>
                  </w:p>
                </w:tc>
              </w:sdtContent>
            </w:sdt>
          </w:tr>
          <w:tr w:rsidR="00743DA6">
            <w:trPr>
              <w:trHeight w:val="885"/>
            </w:trPr>
            <w:sdt>
              <w:sdtPr>
                <w:tag w:val="goog_rdk_292"/>
                <w:id w:val="-548621767"/>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Mantener actualizada 1 Base(s) de datos del sistema de información para la gestión del arbolado urbano, de acuerdo a las competencias establecidas para el Jardín Botánico</w:t>
                    </w:r>
                  </w:p>
                </w:tc>
              </w:sdtContent>
            </w:sdt>
            <w:sdt>
              <w:sdtPr>
                <w:tag w:val="goog_rdk_293"/>
                <w:id w:val="537184461"/>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$ 1,379</w:t>
                    </w:r>
                  </w:p>
                </w:tc>
              </w:sdtContent>
            </w:sdt>
            <w:sdt>
              <w:sdtPr>
                <w:tag w:val="goog_rdk_294"/>
                <w:id w:val="1814071377"/>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$ 1,287</w:t>
                    </w:r>
                  </w:p>
                </w:tc>
              </w:sdtContent>
            </w:sdt>
            <w:sdt>
              <w:sdtPr>
                <w:tag w:val="goog_rdk_295"/>
                <w:id w:val="-62433911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$ 901</w:t>
                    </w:r>
                  </w:p>
                </w:tc>
              </w:sdtContent>
            </w:sdt>
            <w:sdt>
              <w:sdtPr>
                <w:tag w:val="goog_rdk_296"/>
                <w:id w:val="-21572537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$ 2,679</w:t>
                    </w:r>
                  </w:p>
                </w:tc>
              </w:sdtContent>
            </w:sdt>
            <w:sdt>
              <w:sdtPr>
                <w:tag w:val="goog_rdk_297"/>
                <w:id w:val="884855091"/>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$ 1,299</w:t>
                    </w:r>
                  </w:p>
                </w:tc>
              </w:sdtContent>
            </w:sdt>
          </w:tr>
          <w:tr w:rsidR="00743DA6">
            <w:trPr>
              <w:trHeight w:val="885"/>
            </w:trPr>
            <w:sdt>
              <w:sdtPr>
                <w:tag w:val="goog_rdk_298"/>
                <w:id w:val="-740235965"/>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Mantener 6 Herramienta(s) tecnológicas en operación requeridas para la información de coberturas vegetales en Bogotá</w:t>
                    </w:r>
                  </w:p>
                </w:tc>
              </w:sdtContent>
            </w:sdt>
            <w:sdt>
              <w:sdtPr>
                <w:tag w:val="goog_rdk_299"/>
                <w:id w:val="277546900"/>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$ 558</w:t>
                    </w:r>
                  </w:p>
                </w:tc>
              </w:sdtContent>
            </w:sdt>
            <w:sdt>
              <w:sdtPr>
                <w:tag w:val="goog_rdk_300"/>
                <w:id w:val="1182023768"/>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$ 313</w:t>
                    </w:r>
                  </w:p>
                </w:tc>
              </w:sdtContent>
            </w:sdt>
            <w:sdt>
              <w:sdtPr>
                <w:tag w:val="goog_rdk_301"/>
                <w:id w:val="-146818207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$ 105</w:t>
                    </w:r>
                  </w:p>
                </w:tc>
              </w:sdtContent>
            </w:sdt>
            <w:sdt>
              <w:sdtPr>
                <w:tag w:val="goog_rdk_302"/>
                <w:id w:val="-208480378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$ 445</w:t>
                    </w:r>
                  </w:p>
                </w:tc>
              </w:sdtContent>
            </w:sdt>
            <w:sdt>
              <w:sdtPr>
                <w:tag w:val="goog_rdk_303"/>
                <w:id w:val="192473684"/>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-$ 113</w:t>
                    </w:r>
                  </w:p>
                </w:tc>
              </w:sdtContent>
            </w:sdt>
          </w:tr>
          <w:tr w:rsidR="00743DA6">
            <w:trPr>
              <w:trHeight w:val="885"/>
            </w:trPr>
            <w:sdt>
              <w:sdtPr>
                <w:tag w:val="goog_rdk_304"/>
                <w:id w:val="-792960765"/>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Intervenir 12 Bosque(s) urbanos como aporte al mejoramiento de las coberturas vegetales</w:t>
                    </w:r>
                  </w:p>
                </w:tc>
              </w:sdtContent>
            </w:sdt>
            <w:sdt>
              <w:sdtPr>
                <w:tag w:val="goog_rdk_305"/>
                <w:id w:val="-998910541"/>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$ 263</w:t>
                    </w:r>
                  </w:p>
                </w:tc>
              </w:sdtContent>
            </w:sdt>
            <w:sdt>
              <w:sdtPr>
                <w:tag w:val="goog_rdk_306"/>
                <w:id w:val="-1091266242"/>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$ 263</w:t>
                    </w:r>
                  </w:p>
                </w:tc>
              </w:sdtContent>
            </w:sdt>
            <w:sdt>
              <w:sdtPr>
                <w:tag w:val="goog_rdk_307"/>
                <w:id w:val="-13561673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$ 166</w:t>
                    </w:r>
                  </w:p>
                </w:tc>
              </w:sdtContent>
            </w:sdt>
            <w:sdt>
              <w:sdtPr>
                <w:tag w:val="goog_rdk_308"/>
                <w:id w:val="408474413"/>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$ 300</w:t>
                    </w:r>
                  </w:p>
                </w:tc>
              </w:sdtContent>
            </w:sdt>
            <w:sdt>
              <w:sdtPr>
                <w:tag w:val="goog_rdk_309"/>
                <w:id w:val="-1053903217"/>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w:t>
                    </w:r>
                  </w:p>
                </w:tc>
              </w:sdtContent>
            </w:sdt>
          </w:tr>
          <w:tr w:rsidR="00743DA6">
            <w:trPr>
              <w:trHeight w:val="855"/>
            </w:trPr>
            <w:sdt>
              <w:sdtPr>
                <w:tag w:val="goog_rdk_310"/>
                <w:id w:val="707779317"/>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Vincular 26000 Persona(s) en procesos de gestión de las coberturas vegetales</w:t>
                    </w:r>
                  </w:p>
                </w:tc>
              </w:sdtContent>
            </w:sdt>
            <w:sdt>
              <w:sdtPr>
                <w:tag w:val="goog_rdk_311"/>
                <w:id w:val="-648963373"/>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$ 342</w:t>
                    </w:r>
                  </w:p>
                </w:tc>
              </w:sdtContent>
            </w:sdt>
            <w:sdt>
              <w:sdtPr>
                <w:tag w:val="goog_rdk_312"/>
                <w:id w:val="-1111412697"/>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$ 342</w:t>
                    </w:r>
                  </w:p>
                </w:tc>
              </w:sdtContent>
            </w:sdt>
            <w:sdt>
              <w:sdtPr>
                <w:tag w:val="goog_rdk_313"/>
                <w:id w:val="124878783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$ 224</w:t>
                    </w:r>
                  </w:p>
                </w:tc>
              </w:sdtContent>
            </w:sdt>
            <w:sdt>
              <w:sdtPr>
                <w:tag w:val="goog_rdk_314"/>
                <w:id w:val="-208877702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$ 364</w:t>
                    </w:r>
                  </w:p>
                </w:tc>
              </w:sdtContent>
            </w:sdt>
            <w:sdt>
              <w:sdtPr>
                <w:tag w:val="goog_rdk_315"/>
                <w:id w:val="862133459"/>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w:t>
                    </w:r>
                  </w:p>
                </w:tc>
              </w:sdtContent>
            </w:sdt>
          </w:tr>
          <w:tr w:rsidR="00743DA6">
            <w:trPr>
              <w:trHeight w:val="765"/>
            </w:trPr>
            <w:sdt>
              <w:sdtPr>
                <w:tag w:val="goog_rdk_316"/>
                <w:id w:val="-190812583"/>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5 - Plantar 20000 Arbol(es) urbanos como aporte a la estrategia de reverdecimiento urbano</w:t>
                    </w:r>
                  </w:p>
                </w:tc>
              </w:sdtContent>
            </w:sdt>
            <w:sdt>
              <w:sdtPr>
                <w:tag w:val="goog_rdk_317"/>
                <w:id w:val="154504851"/>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$ 1,732</w:t>
                    </w:r>
                  </w:p>
                </w:tc>
              </w:sdtContent>
            </w:sdt>
            <w:sdt>
              <w:sdtPr>
                <w:tag w:val="goog_rdk_318"/>
                <w:id w:val="1526546973"/>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$ 1,509</w:t>
                    </w:r>
                  </w:p>
                </w:tc>
              </w:sdtContent>
            </w:sdt>
            <w:sdt>
              <w:sdtPr>
                <w:tag w:val="goog_rdk_319"/>
                <w:id w:val="-89200462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$ 555</w:t>
                    </w:r>
                  </w:p>
                </w:tc>
              </w:sdtContent>
            </w:sdt>
            <w:sdt>
              <w:sdtPr>
                <w:tag w:val="goog_rdk_320"/>
                <w:id w:val="159485871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$ 2,145</w:t>
                    </w:r>
                  </w:p>
                </w:tc>
              </w:sdtContent>
            </w:sdt>
            <w:sdt>
              <w:sdtPr>
                <w:tag w:val="goog_rdk_321"/>
                <w:id w:val="-904353226"/>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$ 414</w:t>
                    </w:r>
                  </w:p>
                </w:tc>
              </w:sdtContent>
            </w:sdt>
          </w:tr>
          <w:tr w:rsidR="00743DA6">
            <w:trPr>
              <w:trHeight w:val="435"/>
            </w:trPr>
            <w:sdt>
              <w:sdtPr>
                <w:tag w:val="goog_rdk_322"/>
                <w:id w:val="-85704782"/>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6 - Garantizar 100 Porciento de la gestión administrativa y operativa para la consolidación de las coberturas vegetales</w:t>
                    </w:r>
                  </w:p>
                </w:tc>
              </w:sdtContent>
            </w:sdt>
            <w:sdt>
              <w:sdtPr>
                <w:tag w:val="goog_rdk_323"/>
                <w:id w:val="-542708937"/>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$ 1,443</w:t>
                    </w:r>
                  </w:p>
                </w:tc>
              </w:sdtContent>
            </w:sdt>
            <w:sdt>
              <w:sdtPr>
                <w:tag w:val="goog_rdk_324"/>
                <w:id w:val="1048407243"/>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$ 1,407</w:t>
                    </w:r>
                  </w:p>
                </w:tc>
              </w:sdtContent>
            </w:sdt>
            <w:sdt>
              <w:sdtPr>
                <w:tag w:val="goog_rdk_325"/>
                <w:id w:val="-201911657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$ 949</w:t>
                    </w:r>
                  </w:p>
                </w:tc>
              </w:sdtContent>
            </w:sdt>
            <w:sdt>
              <w:sdtPr>
                <w:tag w:val="goog_rdk_326"/>
                <w:id w:val="-51422260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$ 1,217</w:t>
                    </w:r>
                  </w:p>
                </w:tc>
              </w:sdtContent>
            </w:sdt>
            <w:sdt>
              <w:sdtPr>
                <w:tag w:val="goog_rdk_327"/>
                <w:id w:val="-936334825"/>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-$ 226</w:t>
                    </w:r>
                  </w:p>
                </w:tc>
              </w:sdtContent>
            </w:sdt>
          </w:tr>
          <w:tr w:rsidR="00743DA6">
            <w:trPr>
              <w:trHeight w:val="870"/>
            </w:trPr>
            <w:sdt>
              <w:sdtPr>
                <w:tag w:val="goog_rdk_328"/>
                <w:id w:val="353143882"/>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7 - Producir 1000000 Plantulas requeridas en la consolidación de la coberturas vegetales</w:t>
                    </w:r>
                  </w:p>
                </w:tc>
              </w:sdtContent>
            </w:sdt>
            <w:sdt>
              <w:sdtPr>
                <w:tag w:val="goog_rdk_329"/>
                <w:id w:val="966946663"/>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$ 1,454</w:t>
                    </w:r>
                  </w:p>
                </w:tc>
              </w:sdtContent>
            </w:sdt>
            <w:sdt>
              <w:sdtPr>
                <w:tag w:val="goog_rdk_330"/>
                <w:id w:val="-1992003390"/>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$ 1,449</w:t>
                    </w:r>
                  </w:p>
                </w:tc>
              </w:sdtContent>
            </w:sdt>
            <w:sdt>
              <w:sdtPr>
                <w:tag w:val="goog_rdk_331"/>
                <w:id w:val="-1049454137"/>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$ 950</w:t>
                    </w:r>
                  </w:p>
                </w:tc>
              </w:sdtContent>
            </w:sdt>
            <w:sdt>
              <w:sdtPr>
                <w:tag w:val="goog_rdk_332"/>
                <w:id w:val="-158631092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$ 1,173</w:t>
                    </w:r>
                  </w:p>
                </w:tc>
              </w:sdtContent>
            </w:sdt>
            <w:sdt>
              <w:sdtPr>
                <w:tag w:val="goog_rdk_333"/>
                <w:id w:val="-885771617"/>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-$ 281</w:t>
                    </w:r>
                  </w:p>
                </w:tc>
              </w:sdtContent>
            </w:sdt>
          </w:tr>
          <w:tr w:rsidR="00743DA6">
            <w:trPr>
              <w:trHeight w:val="870"/>
            </w:trPr>
            <w:sdt>
              <w:sdtPr>
                <w:tag w:val="goog_rdk_334"/>
                <w:id w:val="-1025136941"/>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8 - Generar 30 Producto(s) de investigación, desarrollo e innovación para la gestión de las coberturas vegetales urbanas y rurales de Bogotá</w:t>
                    </w:r>
                  </w:p>
                </w:tc>
              </w:sdtContent>
            </w:sdt>
            <w:sdt>
              <w:sdtPr>
                <w:tag w:val="goog_rdk_335"/>
                <w:id w:val="509545639"/>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$ 853</w:t>
                    </w:r>
                  </w:p>
                </w:tc>
              </w:sdtContent>
            </w:sdt>
            <w:sdt>
              <w:sdtPr>
                <w:tag w:val="goog_rdk_336"/>
                <w:id w:val="-1767689697"/>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$ 767</w:t>
                    </w:r>
                  </w:p>
                </w:tc>
              </w:sdtContent>
            </w:sdt>
            <w:sdt>
              <w:sdtPr>
                <w:tag w:val="goog_rdk_337"/>
                <w:id w:val="5733600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$ 489</w:t>
                    </w:r>
                  </w:p>
                </w:tc>
              </w:sdtContent>
            </w:sdt>
            <w:sdt>
              <w:sdtPr>
                <w:tag w:val="goog_rdk_338"/>
                <w:id w:val="-2011768080"/>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$ 963</w:t>
                    </w:r>
                  </w:p>
                </w:tc>
              </w:sdtContent>
            </w:sdt>
            <w:sdt>
              <w:sdtPr>
                <w:tag w:val="goog_rdk_339"/>
                <w:id w:val="-1122466227"/>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$ 111</w:t>
                    </w:r>
                  </w:p>
                </w:tc>
              </w:sdtContent>
            </w:sdt>
          </w:tr>
          <w:tr w:rsidR="00743DA6">
            <w:trPr>
              <w:trHeight w:val="720"/>
            </w:trPr>
            <w:sdt>
              <w:sdtPr>
                <w:tag w:val="goog_rdk_340"/>
                <w:id w:val="-1882418196"/>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9 - Intervenir 80 Hectárea(s) en proceso de restauración ecológica</w:t>
                    </w:r>
                  </w:p>
                </w:tc>
              </w:sdtContent>
            </w:sdt>
            <w:sdt>
              <w:sdtPr>
                <w:tag w:val="goog_rdk_341"/>
                <w:id w:val="2091244380"/>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$ 1,985</w:t>
                    </w:r>
                  </w:p>
                </w:tc>
              </w:sdtContent>
            </w:sdt>
            <w:sdt>
              <w:sdtPr>
                <w:tag w:val="goog_rdk_342"/>
                <w:id w:val="190541948"/>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$ 1,881</w:t>
                    </w:r>
                  </w:p>
                </w:tc>
              </w:sdtContent>
            </w:sdt>
            <w:sdt>
              <w:sdtPr>
                <w:tag w:val="goog_rdk_343"/>
                <w:id w:val="-832686943"/>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$ 1,122</w:t>
                    </w:r>
                  </w:p>
                </w:tc>
              </w:sdtContent>
            </w:sdt>
            <w:sdt>
              <w:sdtPr>
                <w:tag w:val="goog_rdk_344"/>
                <w:id w:val="-200544220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$ 2,098</w:t>
                    </w:r>
                  </w:p>
                </w:tc>
              </w:sdtContent>
            </w:sdt>
            <w:sdt>
              <w:sdtPr>
                <w:tag w:val="goog_rdk_345"/>
                <w:id w:val="12739823"/>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$ 113</w:t>
                    </w:r>
                  </w:p>
                </w:tc>
              </w:sdtContent>
            </w:sdt>
          </w:tr>
          <w:tr w:rsidR="00743DA6">
            <w:trPr>
              <w:trHeight w:val="585"/>
            </w:trPr>
            <w:sdt>
              <w:sdtPr>
                <w:tag w:val="goog_rdk_346"/>
                <w:id w:val="-1137881916"/>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10 - Mantener 200000 Metro(s) cuadrados de jardinería convencional y biodiversa</w:t>
                    </w:r>
                  </w:p>
                </w:tc>
              </w:sdtContent>
            </w:sdt>
            <w:sdt>
              <w:sdtPr>
                <w:tag w:val="goog_rdk_347"/>
                <w:id w:val="-2002734299"/>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$ 3,576</w:t>
                    </w:r>
                  </w:p>
                </w:tc>
              </w:sdtContent>
            </w:sdt>
            <w:sdt>
              <w:sdtPr>
                <w:tag w:val="goog_rdk_348"/>
                <w:id w:val="-1882458487"/>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$ 3,291</w:t>
                    </w:r>
                  </w:p>
                </w:tc>
              </w:sdtContent>
            </w:sdt>
            <w:sdt>
              <w:sdtPr>
                <w:tag w:val="goog_rdk_349"/>
                <w:id w:val="-105445353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$ 2,234</w:t>
                    </w:r>
                  </w:p>
                </w:tc>
              </w:sdtContent>
            </w:sdt>
            <w:sdt>
              <w:sdtPr>
                <w:tag w:val="goog_rdk_350"/>
                <w:id w:val="50642386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$ 3,869</w:t>
                    </w:r>
                  </w:p>
                </w:tc>
              </w:sdtContent>
            </w:sdt>
            <w:sdt>
              <w:sdtPr>
                <w:tag w:val="goog_rdk_351"/>
                <w:id w:val="1434002675"/>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$ 293</w:t>
                    </w:r>
                  </w:p>
                </w:tc>
              </w:sdtContent>
            </w:sdt>
          </w:tr>
          <w:tr w:rsidR="00743DA6">
            <w:trPr>
              <w:trHeight w:val="750"/>
            </w:trPr>
            <w:sdt>
              <w:sdtPr>
                <w:tag w:val="goog_rdk_352"/>
                <w:id w:val="-2058625927"/>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11 - Mantener 300000 Arbol(es) adultos para garantizar su establecimiento</w:t>
                    </w:r>
                  </w:p>
                </w:tc>
              </w:sdtContent>
            </w:sdt>
            <w:sdt>
              <w:sdtPr>
                <w:tag w:val="goog_rdk_353"/>
                <w:id w:val="-352189982"/>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$ 4,973</w:t>
                    </w:r>
                  </w:p>
                </w:tc>
              </w:sdtContent>
            </w:sdt>
            <w:sdt>
              <w:sdtPr>
                <w:tag w:val="goog_rdk_354"/>
                <w:id w:val="-1674561179"/>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$ 4,784</w:t>
                    </w:r>
                  </w:p>
                </w:tc>
              </w:sdtContent>
            </w:sdt>
            <w:sdt>
              <w:sdtPr>
                <w:tag w:val="goog_rdk_355"/>
                <w:id w:val="170266415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$ 2,305</w:t>
                    </w:r>
                  </w:p>
                </w:tc>
              </w:sdtContent>
            </w:sdt>
            <w:sdt>
              <w:sdtPr>
                <w:tag w:val="goog_rdk_356"/>
                <w:id w:val="1820840173"/>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$ 3,837</w:t>
                    </w:r>
                  </w:p>
                </w:tc>
              </w:sdtContent>
            </w:sdt>
            <w:sdt>
              <w:sdtPr>
                <w:tag w:val="goog_rdk_357"/>
                <w:id w:val="157530165"/>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-$ 1,136</w:t>
                    </w:r>
                  </w:p>
                </w:tc>
              </w:sdtContent>
            </w:sdt>
          </w:tr>
          <w:tr w:rsidR="00743DA6">
            <w:trPr>
              <w:trHeight w:val="1470"/>
            </w:trPr>
            <w:sdt>
              <w:sdtPr>
                <w:tag w:val="goog_rdk_358"/>
                <w:id w:val="-215624212"/>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12 - Mantener 190000 Arbol(es) jóvenes para garantizar su desarrollo</w:t>
                    </w:r>
                  </w:p>
                </w:tc>
              </w:sdtContent>
            </w:sdt>
            <w:sdt>
              <w:sdtPr>
                <w:tag w:val="goog_rdk_359"/>
                <w:id w:val="1537588705"/>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$ 8,015</w:t>
                    </w:r>
                  </w:p>
                </w:tc>
              </w:sdtContent>
            </w:sdt>
            <w:sdt>
              <w:sdtPr>
                <w:tag w:val="goog_rdk_360"/>
                <w:id w:val="1285334162"/>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$ 6,773</w:t>
                    </w:r>
                  </w:p>
                </w:tc>
              </w:sdtContent>
            </w:sdt>
            <w:sdt>
              <w:sdtPr>
                <w:tag w:val="goog_rdk_361"/>
                <w:id w:val="2146840563"/>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$ 2,387</w:t>
                    </w:r>
                  </w:p>
                </w:tc>
              </w:sdtContent>
            </w:sdt>
            <w:sdt>
              <w:sdtPr>
                <w:tag w:val="goog_rdk_362"/>
                <w:id w:val="182124704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$ 7,153</w:t>
                    </w:r>
                  </w:p>
                </w:tc>
              </w:sdtContent>
            </w:sdt>
            <w:sdt>
              <w:sdtPr>
                <w:tag w:val="goog_rdk_363"/>
                <w:id w:val="-288427669"/>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-$ 862</w:t>
                    </w:r>
                  </w:p>
                </w:tc>
              </w:sdtContent>
            </w:sdt>
          </w:tr>
          <w:tr w:rsidR="00743DA6">
            <w:trPr>
              <w:trHeight w:val="1710"/>
            </w:trPr>
            <w:sdt>
              <w:sdtPr>
                <w:tag w:val="goog_rdk_364"/>
                <w:id w:val="-1618943481"/>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13 - Mantener 10000 Individuo(s) vegetales con criterio de restauración ecológica</w:t>
                    </w:r>
                  </w:p>
                </w:tc>
              </w:sdtContent>
            </w:sdt>
            <w:sdt>
              <w:sdtPr>
                <w:tag w:val="goog_rdk_365"/>
                <w:id w:val="713330733"/>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$ 188</w:t>
                    </w:r>
                  </w:p>
                </w:tc>
              </w:sdtContent>
            </w:sdt>
            <w:sdt>
              <w:sdtPr>
                <w:tag w:val="goog_rdk_366"/>
                <w:id w:val="-488894197"/>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$ 188</w:t>
                    </w:r>
                  </w:p>
                </w:tc>
              </w:sdtContent>
            </w:sdt>
            <w:sdt>
              <w:sdtPr>
                <w:tag w:val="goog_rdk_367"/>
                <w:id w:val="-185168663"/>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$ 124</w:t>
                    </w:r>
                  </w:p>
                </w:tc>
              </w:sdtContent>
            </w:sdt>
            <w:sdt>
              <w:sdtPr>
                <w:tag w:val="goog_rdk_368"/>
                <w:id w:val="208489200"/>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$ 138</w:t>
                    </w:r>
                  </w:p>
                </w:tc>
              </w:sdtContent>
            </w:sdt>
            <w:sdt>
              <w:sdtPr>
                <w:tag w:val="goog_rdk_369"/>
                <w:id w:val="-694310734"/>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-$ 50</w:t>
                    </w:r>
                  </w:p>
                </w:tc>
              </w:sdtContent>
            </w:sdt>
          </w:tr>
          <w:tr w:rsidR="00743DA6">
            <w:trPr>
              <w:trHeight w:val="1005"/>
            </w:trPr>
            <w:sdt>
              <w:sdtPr>
                <w:tag w:val="goog_rdk_370"/>
                <w:id w:val="1977507134"/>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14 - Caracterizar integralmente 50 Porciento del universo de los árboles patrimoniales y las coberturas vegetales icónicas</w:t>
                    </w:r>
                  </w:p>
                </w:tc>
              </w:sdtContent>
            </w:sdt>
            <w:sdt>
              <w:sdtPr>
                <w:tag w:val="goog_rdk_371"/>
                <w:id w:val="1229427116"/>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$ 323</w:t>
                    </w:r>
                  </w:p>
                </w:tc>
              </w:sdtContent>
            </w:sdt>
            <w:sdt>
              <w:sdtPr>
                <w:tag w:val="goog_rdk_372"/>
                <w:id w:val="-2014699376"/>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$ 291</w:t>
                    </w:r>
                  </w:p>
                </w:tc>
              </w:sdtContent>
            </w:sdt>
            <w:sdt>
              <w:sdtPr>
                <w:tag w:val="goog_rdk_373"/>
                <w:id w:val="-57144093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$ 200</w:t>
                    </w:r>
                  </w:p>
                </w:tc>
              </w:sdtContent>
            </w:sdt>
            <w:sdt>
              <w:sdtPr>
                <w:tag w:val="goog_rdk_374"/>
                <w:id w:val="-39807263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$ 406</w:t>
                    </w:r>
                  </w:p>
                </w:tc>
              </w:sdtContent>
            </w:sdt>
            <w:sdt>
              <w:sdtPr>
                <w:tag w:val="goog_rdk_375"/>
                <w:id w:val="1663081757"/>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$ 83</w:t>
                    </w:r>
                  </w:p>
                </w:tc>
              </w:sdtContent>
            </w:sdt>
          </w:tr>
          <w:tr w:rsidR="00743DA6">
            <w:trPr>
              <w:trHeight w:val="765"/>
            </w:trPr>
            <w:sdt>
              <w:sdtPr>
                <w:tag w:val="goog_rdk_376"/>
                <w:id w:val="-78954616"/>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15 - Mantener 100 Porciento las colecciones vivas del Jardín Botánico de Bogotá</w:t>
                    </w:r>
                  </w:p>
                </w:tc>
              </w:sdtContent>
            </w:sdt>
            <w:sdt>
              <w:sdtPr>
                <w:tag w:val="goog_rdk_377"/>
                <w:id w:val="-1589889462"/>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$ 1,486</w:t>
                    </w:r>
                  </w:p>
                </w:tc>
              </w:sdtContent>
            </w:sdt>
            <w:sdt>
              <w:sdtPr>
                <w:tag w:val="goog_rdk_378"/>
                <w:id w:val="-625378891"/>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$ 1,453</w:t>
                    </w:r>
                  </w:p>
                </w:tc>
              </w:sdtContent>
            </w:sdt>
            <w:sdt>
              <w:sdtPr>
                <w:tag w:val="goog_rdk_379"/>
                <w:id w:val="110016521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$ 880</w:t>
                    </w:r>
                  </w:p>
                </w:tc>
              </w:sdtContent>
            </w:sdt>
            <w:sdt>
              <w:sdtPr>
                <w:tag w:val="goog_rdk_380"/>
                <w:id w:val="115166673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$ 1,640</w:t>
                    </w:r>
                  </w:p>
                </w:tc>
              </w:sdtContent>
            </w:sdt>
            <w:sdt>
              <w:sdtPr>
                <w:tag w:val="goog_rdk_381"/>
                <w:id w:val="82652089"/>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$ 155</w:t>
                    </w:r>
                  </w:p>
                </w:tc>
              </w:sdtContent>
            </w:sdt>
          </w:tr>
          <w:tr w:rsidR="00743DA6">
            <w:trPr>
              <w:trHeight w:val="810"/>
            </w:trPr>
            <w:sdt>
              <w:sdtPr>
                <w:tag w:val="goog_rdk_382"/>
                <w:id w:val="2082395411"/>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Implementar 300 Proceso(s) de participación ciudadana ambiental</w:t>
                    </w:r>
                  </w:p>
                </w:tc>
              </w:sdtContent>
            </w:sdt>
            <w:sdt>
              <w:sdtPr>
                <w:tag w:val="goog_rdk_383"/>
                <w:id w:val="-2078980490"/>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$ 1,338</w:t>
                    </w:r>
                  </w:p>
                </w:tc>
              </w:sdtContent>
            </w:sdt>
            <w:sdt>
              <w:sdtPr>
                <w:tag w:val="goog_rdk_384"/>
                <w:id w:val="-1216077370"/>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$ 1,201</w:t>
                    </w:r>
                  </w:p>
                </w:tc>
              </w:sdtContent>
            </w:sdt>
            <w:sdt>
              <w:sdtPr>
                <w:tag w:val="goog_rdk_385"/>
                <w:id w:val="150585480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$ 832</w:t>
                    </w:r>
                  </w:p>
                </w:tc>
              </w:sdtContent>
            </w:sdt>
            <w:sdt>
              <w:sdtPr>
                <w:tag w:val="goog_rdk_386"/>
                <w:id w:val="-77152356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$ 1,136</w:t>
                    </w:r>
                  </w:p>
                </w:tc>
              </w:sdtContent>
            </w:sdt>
            <w:sdt>
              <w:sdtPr>
                <w:tag w:val="goog_rdk_387"/>
                <w:id w:val="643775002"/>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-$ 202</w:t>
                    </w:r>
                  </w:p>
                </w:tc>
              </w:sdtContent>
            </w:sdt>
          </w:tr>
          <w:tr w:rsidR="00743DA6">
            <w:trPr>
              <w:trHeight w:val="1245"/>
            </w:trPr>
            <w:sdt>
              <w:sdtPr>
                <w:tag w:val="goog_rdk_388"/>
                <w:id w:val="1173484476"/>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Implementar 34 Proceso(s) de educación ambiental</w:t>
                    </w:r>
                  </w:p>
                </w:tc>
              </w:sdtContent>
            </w:sdt>
            <w:sdt>
              <w:sdtPr>
                <w:tag w:val="goog_rdk_389"/>
                <w:id w:val="1292827266"/>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$ 121</w:t>
                    </w:r>
                  </w:p>
                </w:tc>
              </w:sdtContent>
            </w:sdt>
            <w:sdt>
              <w:sdtPr>
                <w:tag w:val="goog_rdk_390"/>
                <w:id w:val="1867477293"/>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$ 110</w:t>
                    </w:r>
                  </w:p>
                </w:tc>
              </w:sdtContent>
            </w:sdt>
            <w:sdt>
              <w:sdtPr>
                <w:tag w:val="goog_rdk_391"/>
                <w:id w:val="1521483200"/>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$ 72</w:t>
                    </w:r>
                  </w:p>
                </w:tc>
              </w:sdtContent>
            </w:sdt>
            <w:sdt>
              <w:sdtPr>
                <w:tag w:val="goog_rdk_392"/>
                <w:id w:val="54631226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$ 200</w:t>
                    </w:r>
                  </w:p>
                </w:tc>
              </w:sdtContent>
            </w:sdt>
            <w:sdt>
              <w:sdtPr>
                <w:tag w:val="goog_rdk_393"/>
                <w:id w:val="-1786514859"/>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$ 79</w:t>
                    </w:r>
                  </w:p>
                </w:tc>
              </w:sdtContent>
            </w:sdt>
          </w:tr>
          <w:tr w:rsidR="00743DA6">
            <w:trPr>
              <w:trHeight w:val="1470"/>
            </w:trPr>
            <w:sdt>
              <w:sdtPr>
                <w:tag w:val="goog_rdk_394"/>
                <w:id w:val="1252767424"/>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Vincular 650000 Persona(s) en acciones de educación ambienta</w:t>
                    </w:r>
                  </w:p>
                </w:tc>
              </w:sdtContent>
            </w:sdt>
            <w:sdt>
              <w:sdtPr>
                <w:tag w:val="goog_rdk_395"/>
                <w:id w:val="1794220230"/>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$ 2,477</w:t>
                    </w:r>
                  </w:p>
                </w:tc>
              </w:sdtContent>
            </w:sdt>
            <w:sdt>
              <w:sdtPr>
                <w:tag w:val="goog_rdk_396"/>
                <w:id w:val="-338405096"/>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$ 2,015</w:t>
                    </w:r>
                  </w:p>
                </w:tc>
              </w:sdtContent>
            </w:sdt>
            <w:sdt>
              <w:sdtPr>
                <w:tag w:val="goog_rdk_397"/>
                <w:id w:val="31024379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$ 1,396</w:t>
                    </w:r>
                  </w:p>
                </w:tc>
              </w:sdtContent>
            </w:sdt>
            <w:sdt>
              <w:sdtPr>
                <w:tag w:val="goog_rdk_398"/>
                <w:id w:val="176623697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$ 2,294</w:t>
                    </w:r>
                  </w:p>
                </w:tc>
              </w:sdtContent>
            </w:sdt>
            <w:sdt>
              <w:sdtPr>
                <w:tag w:val="goog_rdk_399"/>
                <w:id w:val="1584932457"/>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-$ 183</w:t>
                    </w:r>
                  </w:p>
                </w:tc>
              </w:sdtContent>
            </w:sdt>
          </w:tr>
          <w:tr w:rsidR="00743DA6">
            <w:trPr>
              <w:trHeight w:val="1245"/>
            </w:trPr>
            <w:sdt>
              <w:sdtPr>
                <w:tag w:val="goog_rdk_400"/>
                <w:id w:val="-1615857445"/>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Acompañar 800 Espacio(s) ciudadanos, comunitarios e institucionales</w:t>
                    </w:r>
                  </w:p>
                </w:tc>
              </w:sdtContent>
            </w:sdt>
            <w:sdt>
              <w:sdtPr>
                <w:tag w:val="goog_rdk_401"/>
                <w:id w:val="-45130755"/>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$ 602</w:t>
                    </w:r>
                  </w:p>
                </w:tc>
              </w:sdtContent>
            </w:sdt>
            <w:sdt>
              <w:sdtPr>
                <w:tag w:val="goog_rdk_402"/>
                <w:id w:val="1038090426"/>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$ 546</w:t>
                    </w:r>
                  </w:p>
                </w:tc>
              </w:sdtContent>
            </w:sdt>
            <w:sdt>
              <w:sdtPr>
                <w:tag w:val="goog_rdk_403"/>
                <w:id w:val="1599384540"/>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$ 363</w:t>
                    </w:r>
                  </w:p>
                </w:tc>
              </w:sdtContent>
            </w:sdt>
            <w:sdt>
              <w:sdtPr>
                <w:tag w:val="goog_rdk_404"/>
                <w:id w:val="-97024861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$ 625</w:t>
                    </w:r>
                  </w:p>
                </w:tc>
              </w:sdtContent>
            </w:sdt>
            <w:sdt>
              <w:sdtPr>
                <w:tag w:val="goog_rdk_405"/>
                <w:id w:val="-1659994548"/>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w:t>
                    </w:r>
                  </w:p>
                </w:tc>
              </w:sdtContent>
            </w:sdt>
          </w:tr>
          <w:tr w:rsidR="00743DA6">
            <w:trPr>
              <w:trHeight w:val="1470"/>
            </w:trPr>
            <w:sdt>
              <w:sdtPr>
                <w:tag w:val="goog_rdk_406"/>
                <w:id w:val="-280559242"/>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5 - Implementar 40 Agenda(s) temáticas de educación ambiental</w:t>
                    </w:r>
                  </w:p>
                </w:tc>
              </w:sdtContent>
            </w:sdt>
            <w:sdt>
              <w:sdtPr>
                <w:tag w:val="goog_rdk_407"/>
                <w:id w:val="2138496912"/>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$ 472</w:t>
                    </w:r>
                  </w:p>
                </w:tc>
              </w:sdtContent>
            </w:sdt>
            <w:sdt>
              <w:sdtPr>
                <w:tag w:val="goog_rdk_408"/>
                <w:id w:val="348121097"/>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$ 460</w:t>
                    </w:r>
                  </w:p>
                </w:tc>
              </w:sdtContent>
            </w:sdt>
            <w:sdt>
              <w:sdtPr>
                <w:tag w:val="goog_rdk_409"/>
                <w:id w:val="-149684595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$ 230</w:t>
                    </w:r>
                  </w:p>
                </w:tc>
              </w:sdtContent>
            </w:sdt>
            <w:sdt>
              <w:sdtPr>
                <w:tag w:val="goog_rdk_410"/>
                <w:id w:val="88421226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$ 350</w:t>
                    </w:r>
                  </w:p>
                </w:tc>
              </w:sdtContent>
            </w:sdt>
            <w:sdt>
              <w:sdtPr>
                <w:tag w:val="goog_rdk_411"/>
                <w:id w:val="-1961441433"/>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-$ 122</w:t>
                    </w:r>
                  </w:p>
                </w:tc>
              </w:sdtContent>
            </w:sdt>
          </w:tr>
          <w:tr w:rsidR="00743DA6">
            <w:trPr>
              <w:trHeight w:val="1005"/>
            </w:trPr>
            <w:sdt>
              <w:sdtPr>
                <w:tag w:val="goog_rdk_412"/>
                <w:id w:val="1266494960"/>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6 - Generar 20 Producto(s) de investigación socioambiental</w:t>
                    </w:r>
                  </w:p>
                </w:tc>
              </w:sdtContent>
            </w:sdt>
            <w:sdt>
              <w:sdtPr>
                <w:tag w:val="goog_rdk_413"/>
                <w:id w:val="355354133"/>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$ 622</w:t>
                    </w:r>
                  </w:p>
                </w:tc>
              </w:sdtContent>
            </w:sdt>
            <w:sdt>
              <w:sdtPr>
                <w:tag w:val="goog_rdk_414"/>
                <w:id w:val="430447749"/>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$ 600</w:t>
                    </w:r>
                  </w:p>
                </w:tc>
              </w:sdtContent>
            </w:sdt>
            <w:sdt>
              <w:sdtPr>
                <w:tag w:val="goog_rdk_415"/>
                <w:id w:val="18670146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$ 334</w:t>
                    </w:r>
                  </w:p>
                </w:tc>
              </w:sdtContent>
            </w:sdt>
            <w:sdt>
              <w:sdtPr>
                <w:tag w:val="goog_rdk_416"/>
                <w:id w:val="-59995872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$ 520</w:t>
                    </w:r>
                  </w:p>
                </w:tc>
              </w:sdtContent>
            </w:sdt>
            <w:sdt>
              <w:sdtPr>
                <w:tag w:val="goog_rdk_417"/>
                <w:id w:val="-870251498"/>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-$ 102</w:t>
                    </w:r>
                  </w:p>
                </w:tc>
              </w:sdtContent>
            </w:sdt>
          </w:tr>
          <w:tr w:rsidR="00743DA6">
            <w:trPr>
              <w:trHeight w:val="1200"/>
            </w:trPr>
            <w:sdt>
              <w:sdtPr>
                <w:tag w:val="goog_rdk_418"/>
                <w:id w:val="-969111412"/>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7 - Realizar 41 Reporte(s) de seguimiento a la gestión de la subdirección educativa y cultural en el cumplimiento de los compromisos adquiridos en las instancias, espacios, políticas públicas, acuerdos e instrumentos de gobernanza</w:t>
                    </w:r>
                  </w:p>
                </w:tc>
              </w:sdtContent>
            </w:sdt>
            <w:sdt>
              <w:sdtPr>
                <w:tag w:val="goog_rdk_419"/>
                <w:id w:val="2006865159"/>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$ 191</w:t>
                    </w:r>
                  </w:p>
                </w:tc>
              </w:sdtContent>
            </w:sdt>
            <w:sdt>
              <w:sdtPr>
                <w:tag w:val="goog_rdk_420"/>
                <w:id w:val="460925403"/>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$ 175</w:t>
                    </w:r>
                  </w:p>
                </w:tc>
              </w:sdtContent>
            </w:sdt>
            <w:sdt>
              <w:sdtPr>
                <w:tag w:val="goog_rdk_421"/>
                <w:id w:val="-84482645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$ 102</w:t>
                    </w:r>
                  </w:p>
                </w:tc>
              </w:sdtContent>
            </w:sdt>
            <w:sdt>
              <w:sdtPr>
                <w:tag w:val="goog_rdk_422"/>
                <w:id w:val="1544278210"/>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$ 196</w:t>
                    </w:r>
                  </w:p>
                </w:tc>
              </w:sdtContent>
            </w:sdt>
            <w:sdt>
              <w:sdtPr>
                <w:tag w:val="goog_rdk_423"/>
                <w:id w:val="-548137572"/>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w:t>
                    </w:r>
                  </w:p>
                </w:tc>
              </w:sdtContent>
            </w:sdt>
          </w:tr>
          <w:tr w:rsidR="00743DA6">
            <w:trPr>
              <w:trHeight w:val="1710"/>
            </w:trPr>
            <w:sdt>
              <w:sdtPr>
                <w:tag w:val="goog_rdk_424"/>
                <w:id w:val="-1551790808"/>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Cumplir 100 Porciento de la Planeación estratégica del Jardín Botánico José Celestino Mutis</w:t>
                    </w:r>
                  </w:p>
                </w:tc>
              </w:sdtContent>
            </w:sdt>
            <w:sdt>
              <w:sdtPr>
                <w:tag w:val="goog_rdk_425"/>
                <w:id w:val="522704281"/>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$ 8,168</w:t>
                    </w:r>
                  </w:p>
                </w:tc>
              </w:sdtContent>
            </w:sdt>
            <w:sdt>
              <w:sdtPr>
                <w:tag w:val="goog_rdk_426"/>
                <w:id w:val="320787401"/>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$ 7,183</w:t>
                    </w:r>
                  </w:p>
                </w:tc>
              </w:sdtContent>
            </w:sdt>
            <w:sdt>
              <w:sdtPr>
                <w:tag w:val="goog_rdk_427"/>
                <w:id w:val="-14984907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$ 4,652</w:t>
                    </w:r>
                  </w:p>
                </w:tc>
              </w:sdtContent>
            </w:sdt>
            <w:sdt>
              <w:sdtPr>
                <w:tag w:val="goog_rdk_428"/>
                <w:id w:val="57320119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$ 5,383</w:t>
                    </w:r>
                  </w:p>
                </w:tc>
              </w:sdtContent>
            </w:sdt>
            <w:sdt>
              <w:sdtPr>
                <w:tag w:val="goog_rdk_429"/>
                <w:id w:val="-1087824123"/>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-$ 2,785</w:t>
                    </w:r>
                  </w:p>
                </w:tc>
              </w:sdtContent>
            </w:sdt>
          </w:tr>
          <w:tr w:rsidR="00743DA6">
            <w:trPr>
              <w:trHeight w:val="1215"/>
            </w:trPr>
            <w:sdt>
              <w:sdtPr>
                <w:tag w:val="goog_rdk_430"/>
                <w:id w:val="92771916"/>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Mantener 100 Porciento del cumplimiento del plan de sostenibilidad MIPG Del Jardín Botánico José Celestino Mutis</w:t>
                    </w:r>
                  </w:p>
                </w:tc>
              </w:sdtContent>
            </w:sdt>
            <w:sdt>
              <w:sdtPr>
                <w:tag w:val="goog_rdk_431"/>
                <w:id w:val="-1737894821"/>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$ 954</w:t>
                    </w:r>
                  </w:p>
                </w:tc>
              </w:sdtContent>
            </w:sdt>
            <w:sdt>
              <w:sdtPr>
                <w:tag w:val="goog_rdk_432"/>
                <w:id w:val="3131618"/>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$ 909</w:t>
                    </w:r>
                  </w:p>
                </w:tc>
              </w:sdtContent>
            </w:sdt>
            <w:sdt>
              <w:sdtPr>
                <w:tag w:val="goog_rdk_433"/>
                <w:id w:val="88305914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$ 576</w:t>
                    </w:r>
                  </w:p>
                </w:tc>
              </w:sdtContent>
            </w:sdt>
            <w:sdt>
              <w:sdtPr>
                <w:tag w:val="goog_rdk_434"/>
                <w:id w:val="-208745918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$ 967</w:t>
                    </w:r>
                  </w:p>
                </w:tc>
              </w:sdtContent>
            </w:sdt>
            <w:sdt>
              <w:sdtPr>
                <w:tag w:val="goog_rdk_435"/>
                <w:id w:val="886175906"/>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w:t>
                    </w:r>
                  </w:p>
                </w:tc>
              </w:sdtContent>
            </w:sdt>
          </w:tr>
          <w:tr w:rsidR="00743DA6">
            <w:trPr>
              <w:trHeight w:val="855"/>
            </w:trPr>
            <w:sdt>
              <w:sdtPr>
                <w:tag w:val="goog_rdk_436"/>
                <w:id w:val="820032169"/>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Ejecutar 100 Porciento del plan de accion de fortalecimiento de TI del Jardín Botánico José Celestino Mutis</w:t>
                    </w:r>
                  </w:p>
                </w:tc>
              </w:sdtContent>
            </w:sdt>
            <w:sdt>
              <w:sdtPr>
                <w:tag w:val="goog_rdk_437"/>
                <w:id w:val="1388899036"/>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$ 3,926</w:t>
                    </w:r>
                  </w:p>
                </w:tc>
              </w:sdtContent>
            </w:sdt>
            <w:sdt>
              <w:sdtPr>
                <w:tag w:val="goog_rdk_438"/>
                <w:id w:val="1572982552"/>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$ 3,225</w:t>
                    </w:r>
                  </w:p>
                </w:tc>
              </w:sdtContent>
            </w:sdt>
            <w:sdt>
              <w:sdtPr>
                <w:tag w:val="goog_rdk_439"/>
                <w:id w:val="-1487124623"/>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$ 1,718</w:t>
                    </w:r>
                  </w:p>
                </w:tc>
              </w:sdtContent>
            </w:sdt>
            <w:sdt>
              <w:sdtPr>
                <w:tag w:val="goog_rdk_440"/>
                <w:id w:val="-263977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$ 2,973</w:t>
                    </w:r>
                  </w:p>
                </w:tc>
              </w:sdtContent>
            </w:sdt>
            <w:sdt>
              <w:sdtPr>
                <w:tag w:val="goog_rdk_441"/>
                <w:id w:val="-989702899"/>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-$ 954</w:t>
                    </w:r>
                  </w:p>
                </w:tc>
              </w:sdtContent>
            </w:sdt>
          </w:tr>
          <w:tr w:rsidR="00743DA6">
            <w:trPr>
              <w:trHeight w:val="1095"/>
            </w:trPr>
            <w:sdt>
              <w:sdtPr>
                <w:tag w:val="goog_rdk_442"/>
                <w:id w:val="1289738206"/>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Actualizar 100 Porciento de los procesos de almacenamiento, clasificación y análisis de la documentación física y electrónica del Jardín Botánico José Celestino Mutis</w:t>
                    </w:r>
                  </w:p>
                </w:tc>
              </w:sdtContent>
            </w:sdt>
            <w:sdt>
              <w:sdtPr>
                <w:tag w:val="goog_rdk_443"/>
                <w:id w:val="478997403"/>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$ 613</w:t>
                    </w:r>
                  </w:p>
                </w:tc>
              </w:sdtContent>
            </w:sdt>
            <w:sdt>
              <w:sdtPr>
                <w:tag w:val="goog_rdk_444"/>
                <w:id w:val="-506648687"/>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$ 389</w:t>
                    </w:r>
                  </w:p>
                </w:tc>
              </w:sdtContent>
            </w:sdt>
            <w:sdt>
              <w:sdtPr>
                <w:tag w:val="goog_rdk_445"/>
                <w:id w:val="-66853077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$ 233</w:t>
                    </w:r>
                  </w:p>
                </w:tc>
              </w:sdtContent>
            </w:sdt>
            <w:sdt>
              <w:sdtPr>
                <w:tag w:val="goog_rdk_446"/>
                <w:id w:val="-208017163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$ 418</w:t>
                    </w:r>
                  </w:p>
                </w:tc>
              </w:sdtContent>
            </w:sdt>
            <w:sdt>
              <w:sdtPr>
                <w:tag w:val="goog_rdk_447"/>
                <w:id w:val="2097180928"/>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-$ 195</w:t>
                    </w:r>
                  </w:p>
                </w:tc>
              </w:sdtContent>
            </w:sdt>
          </w:tr>
          <w:tr w:rsidR="00743DA6">
            <w:trPr>
              <w:trHeight w:val="555"/>
            </w:trPr>
            <w:sdt>
              <w:sdtPr>
                <w:tag w:val="goog_rdk_448"/>
                <w:id w:val="617329986"/>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5 - Mantener y adecuar 1 Sede(s) del Jardín Botánico José Celestino Mutis</w:t>
                    </w:r>
                  </w:p>
                </w:tc>
              </w:sdtContent>
            </w:sdt>
            <w:sdt>
              <w:sdtPr>
                <w:tag w:val="goog_rdk_449"/>
                <w:id w:val="-1083470587"/>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$ 2,228</w:t>
                    </w:r>
                  </w:p>
                </w:tc>
              </w:sdtContent>
            </w:sdt>
            <w:sdt>
              <w:sdtPr>
                <w:tag w:val="goog_rdk_450"/>
                <w:id w:val="-2093145965"/>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$ 1,147</w:t>
                    </w:r>
                  </w:p>
                </w:tc>
              </w:sdtContent>
            </w:sdt>
            <w:sdt>
              <w:sdtPr>
                <w:tag w:val="goog_rdk_451"/>
                <w:id w:val="-45516899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$ 436</w:t>
                    </w:r>
                  </w:p>
                </w:tc>
              </w:sdtContent>
            </w:sdt>
            <w:sdt>
              <w:sdtPr>
                <w:tag w:val="goog_rdk_452"/>
                <w:id w:val="-61538067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$ 2,698</w:t>
                    </w:r>
                  </w:p>
                </w:tc>
              </w:sdtContent>
            </w:sdt>
            <w:sdt>
              <w:sdtPr>
                <w:tag w:val="goog_rdk_453"/>
                <w:id w:val="1149987232"/>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$ 470</w:t>
                    </w:r>
                  </w:p>
                </w:tc>
              </w:sdtContent>
            </w:sdt>
          </w:tr>
          <w:tr w:rsidR="00743DA6">
            <w:trPr>
              <w:trHeight w:val="855"/>
            </w:trPr>
            <w:sdt>
              <w:sdtPr>
                <w:tag w:val="goog_rdk_454"/>
                <w:id w:val="1966841539"/>
                <w:lock w:val="contentLocked"/>
              </w:sdtPr>
              <w:sdtEndPr/>
              <w:sdtContent>
                <w:tc>
                  <w:tcPr>
                    <w:tcW w:w="469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6 - Fortalecer 100 Porciento de los procesos de comunicaciones y mercadeo del Jardín Botánico José Celestino Mutis</w:t>
                    </w:r>
                  </w:p>
                </w:tc>
              </w:sdtContent>
            </w:sdt>
            <w:sdt>
              <w:sdtPr>
                <w:tag w:val="goog_rdk_455"/>
                <w:id w:val="928247902"/>
                <w:lock w:val="contentLocked"/>
              </w:sdtPr>
              <w:sdtEndPr/>
              <w:sdtContent>
                <w:tc>
                  <w:tcPr>
                    <w:tcW w:w="7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$ 1,968</w:t>
                    </w:r>
                  </w:p>
                </w:tc>
              </w:sdtContent>
            </w:sdt>
            <w:sdt>
              <w:sdtPr>
                <w:tag w:val="goog_rdk_456"/>
                <w:id w:val="-2060773401"/>
                <w:lock w:val="contentLocked"/>
              </w:sdtPr>
              <w:sdtEndPr/>
              <w:sdtContent>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$ 1,707</w:t>
                    </w:r>
                  </w:p>
                </w:tc>
              </w:sdtContent>
            </w:sdt>
            <w:sdt>
              <w:sdtPr>
                <w:tag w:val="goog_rdk_457"/>
                <w:id w:val="181293707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$ 750</w:t>
                    </w:r>
                  </w:p>
                </w:tc>
              </w:sdtContent>
            </w:sdt>
            <w:sdt>
              <w:sdtPr>
                <w:tag w:val="goog_rdk_458"/>
                <w:id w:val="-112014583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$ 1,000</w:t>
                    </w:r>
                  </w:p>
                </w:tc>
              </w:sdtContent>
            </w:sdt>
            <w:sdt>
              <w:sdtPr>
                <w:tag w:val="goog_rdk_459"/>
                <w:id w:val="-896887268"/>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-$ 968</w:t>
                    </w:r>
                  </w:p>
                </w:tc>
              </w:sdtContent>
            </w:sdt>
          </w:tr>
        </w:tbl>
      </w:sdtContent>
    </w:sdt>
    <w:p w:rsidR="00743DA6" w:rsidRDefault="00D95D19">
      <w:pPr>
        <w:spacing w:before="240" w:after="240" w:line="276" w:lineRule="auto"/>
        <w:jc w:val="center"/>
        <w:rPr>
          <w:b/>
          <w:bCs/>
          <w:sz w:val="22"/>
          <w:szCs w:val="22"/>
        </w:rPr>
      </w:pPr>
      <w:r>
        <w:rPr>
          <w:b/>
          <w:bCs/>
          <w:sz w:val="18"/>
          <w:szCs w:val="18"/>
        </w:rPr>
        <w:t>Fuente:</w:t>
      </w:r>
      <w:r>
        <w:rPr>
          <w:sz w:val="18"/>
          <w:szCs w:val="18"/>
        </w:rPr>
        <w:t xml:space="preserve"> Elaboración propia (2025) a partir de información suministrada por la Secretaría Distrital de Hacienda (2025).</w:t>
      </w:r>
    </w:p>
    <w:p w:rsidR="00743DA6" w:rsidRDefault="00D95D19">
      <w:pPr>
        <w:pStyle w:val="Ttulo3"/>
        <w:keepNext w:val="0"/>
        <w:keepLines w:val="0"/>
        <w:spacing w:before="280" w:after="80" w:line="259" w:lineRule="auto"/>
        <w:jc w:val="both"/>
        <w:rPr>
          <w:rFonts w:ascii="Arial" w:eastAsia="Arial" w:hAnsi="Arial" w:cs="Arial"/>
          <w:b/>
          <w:bCs/>
          <w:color w:val="000000"/>
          <w:sz w:val="22"/>
          <w:szCs w:val="22"/>
        </w:rPr>
      </w:pPr>
      <w:bookmarkStart w:id="9" w:name="_heading=h.law3sjiybcu5" w:colFirst="0" w:colLast="0"/>
      <w:bookmarkEnd w:id="9"/>
      <w:r>
        <w:rPr>
          <w:rFonts w:ascii="Arial" w:eastAsia="Arial" w:hAnsi="Arial" w:cs="Arial"/>
          <w:b/>
          <w:bCs/>
          <w:color w:val="000000"/>
          <w:sz w:val="22"/>
          <w:szCs w:val="22"/>
        </w:rPr>
        <w:t>Análisis Socioambiental de la Reorientación Presupuestal del Jardín Botánico (2026)</w:t>
      </w:r>
    </w:p>
    <w:p w:rsidR="00743DA6" w:rsidRDefault="00D95D19">
      <w:pPr>
        <w:spacing w:before="240" w:after="240" w:line="259" w:lineRule="auto"/>
        <w:jc w:val="both"/>
        <w:rPr>
          <w:sz w:val="22"/>
          <w:szCs w:val="22"/>
        </w:rPr>
      </w:pPr>
      <w:r>
        <w:rPr>
          <w:sz w:val="22"/>
          <w:szCs w:val="22"/>
        </w:rPr>
        <w:t>El ajuste presupuestal del Jardín Botánico para 2026 refleja una reducción de $5.670 millones (-8,99 %), derivada de una ejecución del 49,49 % en 2025 que obligó a recalibrar la programación financiera. Esta disminución, aunque responde a los niveles de ejecución observados, implica una contracción en áreas asociadas a la gestión del riesgo urbano y al fortalecimiento del capital socioecológico, con efectos que inciden directamente en la capacidad de la ciudad para sostener procesos de restauración, manejo territorial y adaptación climática.</w:t>
      </w:r>
    </w:p>
    <w:p w:rsidR="00743DA6" w:rsidRDefault="00D95D19">
      <w:pPr>
        <w:spacing w:before="240" w:after="240" w:line="259" w:lineRule="auto"/>
        <w:jc w:val="both"/>
        <w:rPr>
          <w:sz w:val="22"/>
          <w:szCs w:val="22"/>
        </w:rPr>
      </w:pPr>
      <w:r>
        <w:rPr>
          <w:sz w:val="22"/>
          <w:szCs w:val="22"/>
        </w:rPr>
        <w:t>La desinversión en el mantenimiento preventivo constituye el principal riesgo ambiental. Los recortes más significativos se aplican al mantenimiento del arbolado urbano, comprometiendo la viabilidad de los individuos arbóreos existentes. El mantenimiento de árboles adultos sufre una reducción de -$1.136 millones (con 46.3% de ejecución), y el de árboles jóvenes disminuye en -$862 millones (con 29.7% de ejecución). Esta contracción del gasto incrementa la vulnerabilidad de la infraestructura verde de la ciudad frente a emergencias por riesgo de caída y degrada la capacidad del arbolado para suministrar servicios ecosistémicos esenciales, como la regulación térmica y la captura de CO2.</w:t>
      </w:r>
    </w:p>
    <w:p w:rsidR="00743DA6" w:rsidRDefault="00D95D19">
      <w:pPr>
        <w:spacing w:before="240" w:after="240" w:line="259" w:lineRule="auto"/>
        <w:jc w:val="both"/>
        <w:rPr>
          <w:sz w:val="22"/>
          <w:szCs w:val="22"/>
        </w:rPr>
      </w:pPr>
      <w:r>
        <w:rPr>
          <w:sz w:val="22"/>
          <w:szCs w:val="22"/>
        </w:rPr>
        <w:t>En el ámbito social, la desfinanciación afecta directamente el tejido comunitario y la pedagogía ambiental. El programa de Huertas Urbanas, un vehículo esencial para la educación ambiental comunitaria y la seguridad alimentaria, recibe un recorte de -$307 millones, a pesar de operar con un 49% de ejecución. Esta reducción limita el alcance de la entidad en los barrios y desaprovecha el capital social y pedagógico acumulado. Asimismo, a nivel de gestión, se evidencia un debilitamiento del soporte técnico e institucional debido a la disminución de -$2.785 millones en Planeación Estratégica (56.9% de ejecución), y recortes cercanos a los -$950 millones en Tecnología de la Información (TI) (43% de ejecución) y Comunicaciones y Mercadeo (38% de ejecución).</w:t>
      </w:r>
    </w:p>
    <w:p w:rsidR="00743DA6" w:rsidRDefault="00D95D19">
      <w:pPr>
        <w:spacing w:before="240" w:after="240" w:line="259" w:lineRule="auto"/>
        <w:jc w:val="both"/>
        <w:rPr>
          <w:sz w:val="22"/>
          <w:szCs w:val="22"/>
        </w:rPr>
      </w:pPr>
      <w:r>
        <w:rPr>
          <w:sz w:val="22"/>
          <w:szCs w:val="22"/>
        </w:rPr>
        <w:t>Frente a la reorientación de la inversión, se observan prioridades contrapuestas. El presupuesto destina un refuerzo estratégico de +$1.299 millones para el Sistema de Información (SIGAU), justificado por su buena ejecución (65.3%) y su importancia para la toma de decisiones. Sin embargo, esta inversión coexiste con una grave inconsistencia fiscal en Infraestructura Física (Sede): se asignan +$470 millones adicionales a un rubro que demostró la peor parálisis operativa de la entidad, con solo un 19.5% de giros en 2025. Además, se prioriza la siembra nueva con +$413 millones adicionales para la plantación de 20.000 nuevos árboles, reflejando una lógica de "foto" (meta visible) sobre una lógica de "servicio" (mantenimiento del árbol adulto), lo cual compromete la sostenibilidad del reverdecimiento urbano al castigar la inversión en el cuidado de lo ya establecido. Se refuerza también la Investigación y el Tropicario con aumentos en líneas de dotación (+287 M) y colecciones vivas (+154 M), reconociendo el valor científico del componente.</w:t>
      </w:r>
    </w:p>
    <w:p w:rsidR="00743DA6" w:rsidRDefault="00D95D19">
      <w:pPr>
        <w:spacing w:before="240" w:after="240" w:line="259" w:lineRule="auto"/>
        <w:jc w:val="both"/>
        <w:rPr>
          <w:b/>
          <w:bCs/>
          <w:sz w:val="22"/>
          <w:szCs w:val="22"/>
        </w:rPr>
      </w:pPr>
      <w:r>
        <w:rPr>
          <w:b/>
          <w:bCs/>
          <w:sz w:val="22"/>
          <w:szCs w:val="22"/>
        </w:rPr>
        <w:t>Petición de Incremento de Presupuesto</w:t>
      </w:r>
    </w:p>
    <w:p w:rsidR="00743DA6" w:rsidRDefault="00D95D19">
      <w:pPr>
        <w:spacing w:after="240" w:line="276" w:lineRule="auto"/>
        <w:jc w:val="both"/>
        <w:rPr>
          <w:sz w:val="22"/>
          <w:szCs w:val="22"/>
        </w:rPr>
      </w:pPr>
      <w:r>
        <w:rPr>
          <w:sz w:val="22"/>
          <w:szCs w:val="22"/>
        </w:rPr>
        <w:t>La propuesta de aumento presupuestal para el programa de huertas urbanas se enfoca en superar la capacidad operativa de 2025, garantizando una expansión real de la iniciativa para la vigencia 2026. Por lo tanto, se solicita un aumento neto de $500 millones de pesos para la actividad responsable del suministro de recursos materiales. Este incremento no solo compensa el recorte de $307 millones que sufrió la línea, sino que inyecta capital adicional para mejorar la calidad y la cantidad de semillas, insumos y herramientas distribuidas a las comunidades. Esta inversión es fundamental para el crecimiento productivo de las huertas, elevando su capacidad para generar seguridad alimentaria y fortaleciendo la pedagogía ambiental en los territorios.</w:t>
      </w:r>
    </w:p>
    <w:p w:rsidR="00743DA6" w:rsidRDefault="00D95D19">
      <w:pPr>
        <w:spacing w:after="240" w:line="276" w:lineRule="auto"/>
        <w:jc w:val="both"/>
        <w:rPr>
          <w:sz w:val="22"/>
          <w:szCs w:val="22"/>
        </w:rPr>
      </w:pPr>
      <w:r>
        <w:rPr>
          <w:sz w:val="22"/>
          <w:szCs w:val="22"/>
        </w:rPr>
        <w:t>La adición de este capital debe ser dirigida al proyecto de inversión</w:t>
      </w:r>
      <w:r>
        <w:rPr>
          <w:b/>
          <w:bCs/>
          <w:sz w:val="22"/>
          <w:szCs w:val="22"/>
        </w:rPr>
        <w:t xml:space="preserve"> </w:t>
      </w:r>
      <w:r>
        <w:rPr>
          <w:sz w:val="22"/>
          <w:szCs w:val="22"/>
        </w:rPr>
        <w:t>"Consolidación de las Coberturas Vegetales Urbanas y Rurales del Distrito Capital". Específicamente, los $500 millones solicitados deben asignarse a la actividad "3 - Fortalecer 15000 Huerta(s) urbanas y periurbanas con el suministro de semillas, insumos y/o herramientas básicas para el mejoramiento productivo". Al reforzar este componente, se restablece el equilibrio del programa, pues se complementa de manera efectiva el aumento ya aprobado para la asistencia técnica. Una estrategia eficiente de agricultura urbana requiere necesariamente que la transferencia de conocimiento vaya acompañada de la provisión material de insumos básicos, garantizando así que la meta de fortalecimiento de huertas no se vea limitada por restricciones presupuestales en la provisión de los recursos esenciales.</w:t>
      </w:r>
    </w:p>
    <w:p w:rsidR="00743DA6" w:rsidRDefault="00D95D19">
      <w:pPr>
        <w:spacing w:after="240" w:line="276" w:lineRule="auto"/>
        <w:jc w:val="both"/>
      </w:pPr>
      <w:r>
        <w:rPr>
          <w:sz w:val="22"/>
          <w:szCs w:val="22"/>
        </w:rPr>
        <w:t>El nuevo presupuesto total programado para el Jardín Botánico José Celestino Mutis para la vigencia 2026, al incorporar el aumento solicitado para el programa de huertas urbanas, ascendería a $57.879,69 millones de pesos.</w:t>
      </w:r>
    </w:p>
    <w:p w:rsidR="00743DA6" w:rsidRDefault="00743DA6">
      <w:pPr>
        <w:rPr>
          <w:sz w:val="18"/>
          <w:szCs w:val="18"/>
        </w:rPr>
      </w:pPr>
    </w:p>
    <w:p w:rsidR="00743DA6" w:rsidRDefault="00D95D19">
      <w:pPr>
        <w:jc w:val="center"/>
        <w:rPr>
          <w:b/>
          <w:bCs/>
          <w:sz w:val="22"/>
          <w:szCs w:val="22"/>
        </w:rPr>
      </w:pPr>
      <w:r>
        <w:rPr>
          <w:b/>
          <w:bCs/>
          <w:sz w:val="22"/>
          <w:szCs w:val="22"/>
        </w:rPr>
        <w:t>Secretaría Distrital de Cultura, Recreación y Deporte (SDCRD)</w:t>
      </w:r>
    </w:p>
    <w:p w:rsidR="00743DA6" w:rsidRDefault="00743DA6">
      <w:pPr>
        <w:rPr>
          <w:b/>
          <w:bCs/>
        </w:rPr>
      </w:pPr>
    </w:p>
    <w:p w:rsidR="00743DA6" w:rsidRDefault="00D95D19">
      <w:pPr>
        <w:jc w:val="center"/>
        <w:rPr>
          <w:sz w:val="22"/>
          <w:szCs w:val="22"/>
        </w:rPr>
      </w:pPr>
      <w:r>
        <w:rPr>
          <w:sz w:val="22"/>
          <w:szCs w:val="22"/>
        </w:rPr>
        <w:t>Gráfica x: Histórico presupuestal SDCRD 2022-2026</w:t>
      </w:r>
    </w:p>
    <w:p w:rsidR="00743DA6" w:rsidRDefault="00D95D19">
      <w:pPr>
        <w:rPr>
          <w:b/>
          <w:bCs/>
        </w:rPr>
      </w:pPr>
      <w:r>
        <w:rPr>
          <w:b/>
          <w:bCs/>
          <w:noProof/>
          <w:lang w:val="es-CO"/>
        </w:rPr>
        <w:drawing>
          <wp:inline distT="114300" distB="114300" distL="114300" distR="114300">
            <wp:extent cx="5612130" cy="3022600"/>
            <wp:effectExtent l="0" t="0" r="0" b="0"/>
            <wp:docPr id="212739961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8"/>
                    <a:srcRect/>
                    <a:stretch>
                      <a:fillRect/>
                    </a:stretch>
                  </pic:blipFill>
                  <pic:spPr>
                    <a:xfrm>
                      <a:off x="0" y="0"/>
                      <a:ext cx="5612130" cy="3022600"/>
                    </a:xfrm>
                    <a:prstGeom prst="rect">
                      <a:avLst/>
                    </a:prstGeom>
                    <a:ln/>
                  </pic:spPr>
                </pic:pic>
              </a:graphicData>
            </a:graphic>
          </wp:inline>
        </w:drawing>
      </w:r>
    </w:p>
    <w:p w:rsidR="00743DA6" w:rsidRDefault="00D95D19">
      <w:pPr>
        <w:jc w:val="center"/>
        <w:rPr>
          <w:sz w:val="18"/>
          <w:szCs w:val="18"/>
        </w:rPr>
      </w:pPr>
      <w:r>
        <w:rPr>
          <w:b/>
          <w:bCs/>
          <w:sz w:val="18"/>
          <w:szCs w:val="18"/>
        </w:rPr>
        <w:t xml:space="preserve">Fuente: </w:t>
      </w:r>
      <w:r>
        <w:rPr>
          <w:sz w:val="18"/>
          <w:szCs w:val="18"/>
        </w:rPr>
        <w:t xml:space="preserve">Elaboración propia (2025) con base en la información suministrada por la SDH (2025) </w:t>
      </w:r>
    </w:p>
    <w:p w:rsidR="00743DA6" w:rsidRDefault="00743DA6">
      <w:pPr>
        <w:rPr>
          <w:sz w:val="18"/>
          <w:szCs w:val="18"/>
        </w:rPr>
      </w:pPr>
    </w:p>
    <w:p w:rsidR="00743DA6" w:rsidRDefault="00D95D19">
      <w:pPr>
        <w:jc w:val="both"/>
        <w:rPr>
          <w:sz w:val="22"/>
          <w:szCs w:val="22"/>
        </w:rPr>
      </w:pPr>
      <w:r>
        <w:rPr>
          <w:sz w:val="22"/>
          <w:szCs w:val="22"/>
        </w:rPr>
        <w:t>La Secretaría Distrital de Cultura, Recreación y Deporte (SDCRD) presenta un proyecto de presupuesto total de gastos e inversiones para la vigencia 2026 por valor de $318.686 millones, de los cuales $39.917 mil millones estarán destinados a Gastos de Funcionamiento que experimentan un incremento del 4,7%, y $278.769 mil millones en Gastos de Inversión , reflejando un aumento del $3,8% en esta área. Es importante recordar que esta fue la única entidad del sector cultura que incrementó su presupuesto en el 3,3% que se traducen en $8.800 millones de pesos de incremento proyectados para la vigencia 2026.</w:t>
      </w:r>
    </w:p>
    <w:p w:rsidR="00743DA6" w:rsidRDefault="00743DA6">
      <w:pPr>
        <w:jc w:val="both"/>
        <w:rPr>
          <w:sz w:val="22"/>
          <w:szCs w:val="22"/>
        </w:rPr>
      </w:pPr>
    </w:p>
    <w:p w:rsidR="00743DA6" w:rsidRDefault="00D95D19">
      <w:pPr>
        <w:jc w:val="both"/>
        <w:rPr>
          <w:sz w:val="22"/>
          <w:szCs w:val="22"/>
        </w:rPr>
      </w:pPr>
      <w:r>
        <w:rPr>
          <w:sz w:val="22"/>
          <w:szCs w:val="22"/>
        </w:rPr>
        <w:t>El presupuesto de Inversión Directa de la Secretaría Distrital de Cultura, Recreación y Deporte (SDCRD) muestra una trayectoria de crecimiento sostenido a lo largo del periodo 2022-2026. Partiendo de $154 mil millones en 2022, se incrementó en $28.000 millones alcanzando un valor de $182 mil millones en 2023 y experimentó un ligero aumento en 2024 con un presupuesto de inversión de $202 mil millones. La SDCRD proyecta para 2026 el valor más alto de inversión directa en este periodo histórico, con $278 mil millones.</w:t>
      </w:r>
    </w:p>
    <w:p w:rsidR="00743DA6" w:rsidRDefault="00743DA6">
      <w:pPr>
        <w:jc w:val="both"/>
        <w:rPr>
          <w:sz w:val="22"/>
          <w:szCs w:val="22"/>
        </w:rPr>
      </w:pPr>
    </w:p>
    <w:p w:rsidR="00743DA6" w:rsidRDefault="00D95D19">
      <w:pPr>
        <w:jc w:val="both"/>
        <w:rPr>
          <w:sz w:val="22"/>
          <w:szCs w:val="22"/>
        </w:rPr>
      </w:pPr>
      <w:r>
        <w:rPr>
          <w:sz w:val="22"/>
          <w:szCs w:val="22"/>
        </w:rPr>
        <w:t>En cuanto a la ejecución, la SDCRD demostró una alta capacidad de comprometer recursos entre 2022 y 2024, con porcentajes que oscilaron entre el 91% y el 97%. Sin embargo, la ejecución de compromisos de la SDCRD disminuyó a 81% en 2025. Para el análisis en el periodo 2022-2025 la ejecución de giros de la SDCRD  ha sido robusta manteniendo un promedio cercano al 80% entre 2022 y 2024 (84% en 2022, 79% en 2023 y 80% en 2024). A pesar de esta solidez previa, el porcentaje de ejecución de giros cayó significativamente en 2025, situándose en 51%, el más bajo registrado para la entidad.</w:t>
      </w:r>
    </w:p>
    <w:p w:rsidR="00743DA6" w:rsidRDefault="00D95D19">
      <w:pPr>
        <w:spacing w:before="240" w:after="240" w:line="276" w:lineRule="auto"/>
        <w:ind w:right="62"/>
        <w:jc w:val="both"/>
        <w:rPr>
          <w:sz w:val="22"/>
          <w:szCs w:val="22"/>
        </w:rPr>
      </w:pPr>
      <w:r>
        <w:rPr>
          <w:sz w:val="22"/>
          <w:szCs w:val="22"/>
        </w:rPr>
        <w:t>A continuación se muestra la relación entre presupuesto 2025-2026  a nivel de compromiso y giro por proyecto de inversión de la SDCRD:</w:t>
      </w:r>
    </w:p>
    <w:p w:rsidR="00743DA6" w:rsidRDefault="00D95D19">
      <w:pPr>
        <w:jc w:val="both"/>
        <w:rPr>
          <w:b/>
          <w:bCs/>
          <w:sz w:val="22"/>
          <w:szCs w:val="22"/>
        </w:rPr>
      </w:pPr>
      <w:r>
        <w:rPr>
          <w:b/>
          <w:bCs/>
        </w:rPr>
        <w:t>Tabla No. 24.</w:t>
      </w:r>
      <w:r>
        <w:rPr>
          <w:b/>
          <w:bCs/>
          <w:sz w:val="22"/>
          <w:szCs w:val="22"/>
        </w:rPr>
        <w:t xml:space="preserve"> Tabla X : Comparativo 2025-2026 por proyecto de inversión SDCRD</w:t>
      </w:r>
    </w:p>
    <w:p w:rsidR="00743DA6" w:rsidRDefault="00743DA6">
      <w:pPr>
        <w:jc w:val="both"/>
        <w:rPr>
          <w:b/>
          <w:bCs/>
        </w:rPr>
      </w:pPr>
    </w:p>
    <w:tbl>
      <w:tblPr>
        <w:tblStyle w:val="affffff4"/>
        <w:tblW w:w="8700" w:type="dxa"/>
        <w:tblBorders>
          <w:top w:val="nil"/>
          <w:left w:val="nil"/>
          <w:bottom w:val="nil"/>
          <w:right w:val="nil"/>
          <w:insideH w:val="nil"/>
          <w:insideV w:val="nil"/>
        </w:tblBorders>
        <w:tblLayout w:type="fixed"/>
        <w:tblLook w:val="0600" w:firstRow="0" w:lastRow="0" w:firstColumn="0" w:lastColumn="0" w:noHBand="1" w:noVBand="1"/>
      </w:tblPr>
      <w:tblGrid>
        <w:gridCol w:w="2505"/>
        <w:gridCol w:w="1140"/>
        <w:gridCol w:w="1275"/>
        <w:gridCol w:w="1230"/>
        <w:gridCol w:w="1365"/>
        <w:gridCol w:w="1185"/>
      </w:tblGrid>
      <w:tr w:rsidR="00743DA6">
        <w:trPr>
          <w:trHeight w:val="890"/>
        </w:trPr>
        <w:tc>
          <w:tcPr>
            <w:tcW w:w="250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PROYECTOS DE INVERSIÓN SDCRD</w:t>
            </w:r>
          </w:p>
        </w:tc>
        <w:tc>
          <w:tcPr>
            <w:tcW w:w="1140"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Suma de 2025_PROG </w:t>
            </w:r>
          </w:p>
        </w:tc>
        <w:tc>
          <w:tcPr>
            <w:tcW w:w="127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Suma de 2025_COMPROMISOS </w:t>
            </w:r>
          </w:p>
        </w:tc>
        <w:tc>
          <w:tcPr>
            <w:tcW w:w="1230"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Suma de 2025_GIROS </w:t>
            </w:r>
          </w:p>
        </w:tc>
        <w:tc>
          <w:tcPr>
            <w:tcW w:w="136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Suma de 2026_PROG </w:t>
            </w:r>
          </w:p>
        </w:tc>
        <w:tc>
          <w:tcPr>
            <w:tcW w:w="118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Suma de Diferencia PROG </w:t>
            </w:r>
          </w:p>
        </w:tc>
      </w:tr>
      <w:tr w:rsidR="00743DA6">
        <w:trPr>
          <w:trHeight w:val="455"/>
        </w:trPr>
        <w:tc>
          <w:tcPr>
            <w:tcW w:w="25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7965</w:t>
            </w:r>
          </w:p>
          <w:p w:rsidR="00743DA6" w:rsidRDefault="00D95D19">
            <w:pPr>
              <w:jc w:val="both"/>
              <w:rPr>
                <w:rFonts w:ascii="Arial" w:eastAsia="Arial" w:hAnsi="Arial" w:cs="Arial"/>
                <w:sz w:val="18"/>
                <w:szCs w:val="18"/>
              </w:rPr>
            </w:pPr>
            <w:r>
              <w:rPr>
                <w:rFonts w:ascii="Arial" w:eastAsia="Arial" w:hAnsi="Arial" w:cs="Arial"/>
                <w:sz w:val="18"/>
                <w:szCs w:val="18"/>
              </w:rPr>
              <w:t>Fortalecimiento del fomento para el desarrollo de procesos culturales sostenibles en Bogotá D.C.</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$ 50.140</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$ 27.956</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20.755</w:t>
            </w:r>
          </w:p>
        </w:tc>
        <w:tc>
          <w:tcPr>
            <w:tcW w:w="136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$42.304</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-$7.836</w:t>
            </w:r>
          </w:p>
        </w:tc>
      </w:tr>
      <w:tr w:rsidR="00743DA6">
        <w:trPr>
          <w:trHeight w:val="665"/>
        </w:trPr>
        <w:tc>
          <w:tcPr>
            <w:tcW w:w="25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7991</w:t>
            </w:r>
          </w:p>
          <w:p w:rsidR="00743DA6" w:rsidRDefault="00D95D19">
            <w:pPr>
              <w:jc w:val="both"/>
              <w:rPr>
                <w:rFonts w:ascii="Arial" w:eastAsia="Arial" w:hAnsi="Arial" w:cs="Arial"/>
                <w:sz w:val="18"/>
                <w:szCs w:val="18"/>
              </w:rPr>
            </w:pPr>
            <w:r>
              <w:rPr>
                <w:rFonts w:ascii="Arial" w:eastAsia="Arial" w:hAnsi="Arial" w:cs="Arial"/>
                <w:sz w:val="18"/>
                <w:szCs w:val="18"/>
              </w:rPr>
              <w:t>Innovación y cambio cultural para la transformación de comportamientos que promuevan el orgullo por la ciudad de Bogotá D.C.</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$ 24.773</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$ 13.824</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$6.465</w:t>
            </w:r>
          </w:p>
        </w:tc>
        <w:tc>
          <w:tcPr>
            <w:tcW w:w="136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$17.802</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-$6.971</w:t>
            </w:r>
          </w:p>
        </w:tc>
      </w:tr>
      <w:tr w:rsidR="00743DA6">
        <w:trPr>
          <w:trHeight w:val="455"/>
        </w:trPr>
        <w:tc>
          <w:tcPr>
            <w:tcW w:w="25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7970</w:t>
            </w:r>
          </w:p>
          <w:p w:rsidR="00743DA6" w:rsidRDefault="00D95D19">
            <w:pPr>
              <w:jc w:val="both"/>
              <w:rPr>
                <w:rFonts w:ascii="Arial" w:eastAsia="Arial" w:hAnsi="Arial" w:cs="Arial"/>
                <w:sz w:val="18"/>
                <w:szCs w:val="18"/>
              </w:rPr>
            </w:pPr>
            <w:r>
              <w:rPr>
                <w:rFonts w:ascii="Arial" w:eastAsia="Arial" w:hAnsi="Arial" w:cs="Arial"/>
                <w:sz w:val="18"/>
                <w:szCs w:val="18"/>
              </w:rPr>
              <w:t>Fortalecimiento del acceso a la cultura escrita de los habitantes de Bogotá D.C</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$ 57.474</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56.089</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$ 38.353</w:t>
            </w:r>
          </w:p>
        </w:tc>
        <w:tc>
          <w:tcPr>
            <w:tcW w:w="136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$53.392</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-$4.083</w:t>
            </w:r>
          </w:p>
        </w:tc>
      </w:tr>
      <w:tr w:rsidR="00743DA6">
        <w:trPr>
          <w:trHeight w:val="455"/>
        </w:trPr>
        <w:tc>
          <w:tcPr>
            <w:tcW w:w="25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8036 </w:t>
            </w:r>
          </w:p>
          <w:p w:rsidR="00743DA6" w:rsidRDefault="00D95D19">
            <w:pPr>
              <w:jc w:val="both"/>
              <w:rPr>
                <w:rFonts w:ascii="Arial" w:eastAsia="Arial" w:hAnsi="Arial" w:cs="Arial"/>
                <w:sz w:val="18"/>
                <w:szCs w:val="18"/>
              </w:rPr>
            </w:pPr>
            <w:r>
              <w:rPr>
                <w:rFonts w:ascii="Arial" w:eastAsia="Arial" w:hAnsi="Arial" w:cs="Arial"/>
                <w:sz w:val="18"/>
                <w:szCs w:val="18"/>
              </w:rPr>
              <w:t>Fortalecimiento Institucional para una Gobernanza Pública Confiable en Bogotá D.C.</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$ 14.775</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$ 13.315</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$ 8.497</w:t>
            </w:r>
          </w:p>
        </w:tc>
        <w:tc>
          <w:tcPr>
            <w:tcW w:w="136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$13.424</w:t>
            </w:r>
          </w:p>
        </w:tc>
        <w:tc>
          <w:tcPr>
            <w:tcW w:w="1185" w:type="dxa"/>
            <w:tcBorders>
              <w:top w:val="single" w:sz="5" w:space="0" w:color="000000"/>
              <w:left w:val="single" w:sz="5" w:space="0" w:color="000000"/>
              <w:bottom w:val="single" w:sz="5" w:space="0" w:color="000000"/>
              <w:right w:val="single" w:sz="5" w:space="0" w:color="000000"/>
            </w:tcBorders>
            <w:shd w:val="clear" w:color="auto" w:fill="FFFFFF"/>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-$1.351</w:t>
            </w:r>
          </w:p>
        </w:tc>
      </w:tr>
      <w:tr w:rsidR="00743DA6">
        <w:trPr>
          <w:trHeight w:val="725"/>
        </w:trPr>
        <w:tc>
          <w:tcPr>
            <w:tcW w:w="25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8027</w:t>
            </w:r>
          </w:p>
          <w:p w:rsidR="00743DA6" w:rsidRDefault="00D95D19">
            <w:pPr>
              <w:jc w:val="both"/>
              <w:rPr>
                <w:rFonts w:ascii="Arial" w:eastAsia="Arial" w:hAnsi="Arial" w:cs="Arial"/>
                <w:sz w:val="18"/>
                <w:szCs w:val="18"/>
              </w:rPr>
            </w:pPr>
            <w:r>
              <w:rPr>
                <w:rFonts w:ascii="Arial" w:eastAsia="Arial" w:hAnsi="Arial" w:cs="Arial"/>
                <w:sz w:val="18"/>
                <w:szCs w:val="18"/>
              </w:rPr>
              <w:t>Fortalecimiento de la gobernanza territorial, la participación incidente y la atención diferenciada de los grupos étnicos, etarios y sectores sociales desde las prácticas culturales en Bogotá D.C.</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$ 13.812</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$ 10.119</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$ 5.950</w:t>
            </w:r>
          </w:p>
        </w:tc>
        <w:tc>
          <w:tcPr>
            <w:tcW w:w="136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$12.685</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-$1.128</w:t>
            </w:r>
          </w:p>
        </w:tc>
      </w:tr>
      <w:tr w:rsidR="00743DA6">
        <w:trPr>
          <w:trHeight w:val="455"/>
        </w:trPr>
        <w:tc>
          <w:tcPr>
            <w:tcW w:w="25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7893</w:t>
            </w:r>
          </w:p>
          <w:p w:rsidR="00743DA6" w:rsidRDefault="00D95D19">
            <w:pPr>
              <w:jc w:val="both"/>
              <w:rPr>
                <w:rFonts w:ascii="Arial" w:eastAsia="Arial" w:hAnsi="Arial" w:cs="Arial"/>
                <w:sz w:val="18"/>
                <w:szCs w:val="18"/>
              </w:rPr>
            </w:pPr>
            <w:r>
              <w:rPr>
                <w:rFonts w:ascii="Arial" w:eastAsia="Arial" w:hAnsi="Arial" w:cs="Arial"/>
                <w:sz w:val="18"/>
                <w:szCs w:val="18"/>
              </w:rPr>
              <w:t>Formación artística, cultural y deportiva a lo largo de la vida en Bogotá D.C.</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$4.064</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$ 3.731</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$ 2.544</w:t>
            </w:r>
          </w:p>
        </w:tc>
        <w:tc>
          <w:tcPr>
            <w:tcW w:w="136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$ 3.120</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-$944</w:t>
            </w:r>
          </w:p>
        </w:tc>
      </w:tr>
      <w:tr w:rsidR="00743DA6">
        <w:trPr>
          <w:trHeight w:val="725"/>
        </w:trPr>
        <w:tc>
          <w:tcPr>
            <w:tcW w:w="25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7959</w:t>
            </w:r>
          </w:p>
          <w:p w:rsidR="00743DA6" w:rsidRDefault="00D95D19">
            <w:pPr>
              <w:jc w:val="both"/>
              <w:rPr>
                <w:rFonts w:ascii="Arial" w:eastAsia="Arial" w:hAnsi="Arial" w:cs="Arial"/>
                <w:sz w:val="18"/>
                <w:szCs w:val="18"/>
              </w:rPr>
            </w:pPr>
            <w:r>
              <w:rPr>
                <w:rFonts w:ascii="Arial" w:eastAsia="Arial" w:hAnsi="Arial" w:cs="Arial"/>
                <w:sz w:val="18"/>
                <w:szCs w:val="18"/>
              </w:rPr>
              <w:t>Fortalecimiento de la sostenibilidad económica del sector cultural y creativo, a través de la implementación de programas que permitan aumentar crecimiento y competitividad, en Bogotá D.C.</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$ 10.658</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$ 8.129</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$ 4.488</w:t>
            </w:r>
          </w:p>
        </w:tc>
        <w:tc>
          <w:tcPr>
            <w:tcW w:w="136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$10.026</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-$632</w:t>
            </w:r>
          </w:p>
        </w:tc>
      </w:tr>
      <w:tr w:rsidR="00743DA6">
        <w:trPr>
          <w:trHeight w:val="665"/>
        </w:trPr>
        <w:tc>
          <w:tcPr>
            <w:tcW w:w="25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7957</w:t>
            </w:r>
          </w:p>
          <w:p w:rsidR="00743DA6" w:rsidRDefault="00D95D19">
            <w:pPr>
              <w:jc w:val="both"/>
              <w:rPr>
                <w:rFonts w:ascii="Arial" w:eastAsia="Arial" w:hAnsi="Arial" w:cs="Arial"/>
                <w:sz w:val="18"/>
                <w:szCs w:val="18"/>
              </w:rPr>
            </w:pPr>
            <w:r>
              <w:rPr>
                <w:rFonts w:ascii="Arial" w:eastAsia="Arial" w:hAnsi="Arial" w:cs="Arial"/>
                <w:sz w:val="18"/>
                <w:szCs w:val="18"/>
              </w:rPr>
              <w:t>Fortalecimiento de prácticas y transformaciones culturales, patrimoniales, urbanas y sociales para el bienestar integral de Bogotá D.C.</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$ 15.407</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$12.034</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8.103</w:t>
            </w:r>
          </w:p>
        </w:tc>
        <w:tc>
          <w:tcPr>
            <w:tcW w:w="136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$16.978</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$1.571</w:t>
            </w:r>
          </w:p>
        </w:tc>
      </w:tr>
      <w:tr w:rsidR="00743DA6">
        <w:trPr>
          <w:trHeight w:val="510"/>
        </w:trPr>
        <w:tc>
          <w:tcPr>
            <w:tcW w:w="25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7929</w:t>
            </w:r>
          </w:p>
          <w:p w:rsidR="00743DA6" w:rsidRDefault="00D95D19">
            <w:pPr>
              <w:jc w:val="both"/>
              <w:rPr>
                <w:rFonts w:ascii="Arial" w:eastAsia="Arial" w:hAnsi="Arial" w:cs="Arial"/>
                <w:sz w:val="18"/>
                <w:szCs w:val="18"/>
              </w:rPr>
            </w:pPr>
            <w:r>
              <w:rPr>
                <w:rFonts w:ascii="Arial" w:eastAsia="Arial" w:hAnsi="Arial" w:cs="Arial"/>
                <w:sz w:val="18"/>
                <w:szCs w:val="18"/>
              </w:rPr>
              <w:t>Fortalecimiento de alianzas estratégicas a nivel bilateral y multilateral para el posicionamiento de la ciudad como referente cultural y recreodeportivo en escenarios internacionales en Bogotá D.C.</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$30.574</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$29.411</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$7.503</w:t>
            </w:r>
          </w:p>
        </w:tc>
        <w:tc>
          <w:tcPr>
            <w:tcW w:w="136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$37.431</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$6.857</w:t>
            </w:r>
          </w:p>
        </w:tc>
      </w:tr>
      <w:tr w:rsidR="00743DA6">
        <w:trPr>
          <w:trHeight w:val="455"/>
        </w:trPr>
        <w:tc>
          <w:tcPr>
            <w:tcW w:w="25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7990</w:t>
            </w:r>
          </w:p>
          <w:p w:rsidR="00743DA6" w:rsidRDefault="00D95D19">
            <w:pPr>
              <w:jc w:val="both"/>
              <w:rPr>
                <w:rFonts w:ascii="Arial" w:eastAsia="Arial" w:hAnsi="Arial" w:cs="Arial"/>
                <w:sz w:val="18"/>
                <w:szCs w:val="18"/>
              </w:rPr>
            </w:pPr>
            <w:r>
              <w:rPr>
                <w:rFonts w:ascii="Arial" w:eastAsia="Arial" w:hAnsi="Arial" w:cs="Arial"/>
                <w:sz w:val="18"/>
                <w:szCs w:val="18"/>
              </w:rPr>
              <w:t>Asistencia Técnica para el desarrollo de infraestructuras culturales sostenibles en el Distrito Capital en Bogotá D.C.</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$ 56.713</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$ 34.279</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$ 6.873</w:t>
            </w:r>
          </w:p>
        </w:tc>
        <w:tc>
          <w:tcPr>
            <w:tcW w:w="136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$71.606</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$14.892</w:t>
            </w:r>
          </w:p>
        </w:tc>
      </w:tr>
      <w:tr w:rsidR="00743DA6">
        <w:trPr>
          <w:trHeight w:val="455"/>
        </w:trPr>
        <w:tc>
          <w:tcPr>
            <w:tcW w:w="250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Total general</w:t>
            </w:r>
          </w:p>
        </w:tc>
        <w:tc>
          <w:tcPr>
            <w:tcW w:w="1140"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$278.392</w:t>
            </w:r>
          </w:p>
        </w:tc>
        <w:tc>
          <w:tcPr>
            <w:tcW w:w="127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$ 208.887</w:t>
            </w:r>
          </w:p>
        </w:tc>
        <w:tc>
          <w:tcPr>
            <w:tcW w:w="1230"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$109.530</w:t>
            </w:r>
          </w:p>
        </w:tc>
        <w:tc>
          <w:tcPr>
            <w:tcW w:w="136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$278.769</w:t>
            </w:r>
          </w:p>
        </w:tc>
        <w:tc>
          <w:tcPr>
            <w:tcW w:w="118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$376</w:t>
            </w:r>
          </w:p>
        </w:tc>
      </w:tr>
    </w:tbl>
    <w:p w:rsidR="00743DA6" w:rsidRDefault="00D95D19">
      <w:pPr>
        <w:jc w:val="both"/>
        <w:rPr>
          <w:sz w:val="18"/>
          <w:szCs w:val="18"/>
        </w:rPr>
      </w:pPr>
      <w:r>
        <w:rPr>
          <w:sz w:val="18"/>
          <w:szCs w:val="18"/>
        </w:rPr>
        <w:t xml:space="preserve">Fuente: Elaboración propia (2025) con base en la información suministrada por SDH (2025) </w:t>
      </w:r>
    </w:p>
    <w:p w:rsidR="00743DA6" w:rsidRDefault="00743DA6">
      <w:pPr>
        <w:jc w:val="both"/>
      </w:pPr>
    </w:p>
    <w:p w:rsidR="00743DA6" w:rsidRDefault="00D95D19">
      <w:pPr>
        <w:jc w:val="both"/>
        <w:rPr>
          <w:sz w:val="22"/>
          <w:szCs w:val="22"/>
        </w:rPr>
      </w:pPr>
      <w:r>
        <w:rPr>
          <w:sz w:val="22"/>
          <w:szCs w:val="22"/>
        </w:rPr>
        <w:t>La Secretaría Distrital de Cultura Recreación y Deporte cuenta con 10 proyectos de inversión, 22 metas y 44 actividades. El presupuesto de inversión  de la SDCRD para 2026 muestra un impulso significativo en proyectos de infraestructura y alianzas estratégicas. Se proyectan alrededor de $20.000 millones en los proyectos de inversión 7929 y 7990 que consisten en propiciar alianzas estratégicas para llevar a cabo grandes eventos internacionales y grandes espectáculos culturales en Bogotá, entre los que se suman la celebración de la navidad 2026 y la iluminación de la Plaza de Bolívar así como la asistencia técnica para la construcción de infraestructuras.</w:t>
      </w:r>
    </w:p>
    <w:p w:rsidR="00743DA6" w:rsidRDefault="00743DA6">
      <w:pPr>
        <w:jc w:val="both"/>
        <w:rPr>
          <w:sz w:val="22"/>
          <w:szCs w:val="22"/>
        </w:rPr>
      </w:pPr>
    </w:p>
    <w:p w:rsidR="00743DA6" w:rsidRDefault="00D95D19">
      <w:pPr>
        <w:jc w:val="both"/>
        <w:rPr>
          <w:sz w:val="22"/>
          <w:szCs w:val="22"/>
        </w:rPr>
      </w:pPr>
      <w:r>
        <w:rPr>
          <w:sz w:val="22"/>
          <w:szCs w:val="22"/>
        </w:rPr>
        <w:t>También llama la atención la meta de “Estructurar y construir 38 parques” del proyecto de inversión 7990 que en su única actividad  proyecta “Estructurar y construir 11 Parque(s) y cómo mínimo un escenario deportivo exclusivo para las NTD” esta meta cuenta con el rubro más alto de inversión de toda la entidad $33.204 millones y tendrá un incremento de $28.250 millones (aumenta en un 117%  respecto a tu presupuesto del 2025 $4.900 millones).</w:t>
      </w:r>
    </w:p>
    <w:p w:rsidR="00743DA6" w:rsidRDefault="00743DA6">
      <w:pPr>
        <w:jc w:val="both"/>
        <w:rPr>
          <w:sz w:val="22"/>
          <w:szCs w:val="22"/>
        </w:rPr>
      </w:pPr>
    </w:p>
    <w:p w:rsidR="00743DA6" w:rsidRDefault="00D95D19">
      <w:pPr>
        <w:jc w:val="both"/>
        <w:rPr>
          <w:sz w:val="22"/>
          <w:szCs w:val="22"/>
        </w:rPr>
      </w:pPr>
      <w:r>
        <w:rPr>
          <w:sz w:val="22"/>
          <w:szCs w:val="22"/>
        </w:rPr>
        <w:t xml:space="preserve">Asi mismo, son notables las reducciones en otros frentes de inversión: el proyecto 7991 "Innovación y cambio cultural para la transformación de comportamientos" decrece en -25% (con $17.802 millones), tendrá una reducción de $6.900 millones  especificamente en la meta de “Implementar 8 Estrategia(s) de cultura ciudadana que promuevan la confianza, la convivencia, la resolución de conflictos, la eliminación del machismo y cualquier tipo de discriminación””  </w:t>
      </w:r>
    </w:p>
    <w:p w:rsidR="00743DA6" w:rsidRDefault="00743DA6">
      <w:pPr>
        <w:jc w:val="both"/>
        <w:rPr>
          <w:sz w:val="22"/>
          <w:szCs w:val="22"/>
        </w:rPr>
      </w:pPr>
    </w:p>
    <w:p w:rsidR="00743DA6" w:rsidRDefault="00D95D19">
      <w:pPr>
        <w:jc w:val="both"/>
        <w:rPr>
          <w:sz w:val="22"/>
          <w:szCs w:val="22"/>
        </w:rPr>
      </w:pPr>
      <w:r>
        <w:rPr>
          <w:sz w:val="22"/>
          <w:szCs w:val="22"/>
        </w:rPr>
        <w:t>La situación adquiere especial relevancia en una ciudad como Bogotá, donde el Observatorio de Mujeres y Equidad de Género (2025) registra 498 casos de violencia intrafamiliar de pareja en lo corrido del año, con mayores concentraciones en Ciudad Bolívar, Bosa, Kennedy, Suba y Engativá. A ello se suma que la percepción de inseguridad entre las mujeres sigue siendo elevada: el 75 % considera que la ciudad es un entorno inseguro. En materia de violencia sexual en el transporte público, en 2024 se contabilizaron 420.000 incidentes, de los cuales únicamente 1.225 fueron denunciados, lo que evidencia una brecha considerable entre la ocurrencia de los hechos y su reporte institucional.</w:t>
      </w:r>
    </w:p>
    <w:p w:rsidR="00743DA6" w:rsidRDefault="00743DA6">
      <w:pPr>
        <w:jc w:val="both"/>
        <w:rPr>
          <w:sz w:val="22"/>
          <w:szCs w:val="22"/>
        </w:rPr>
      </w:pPr>
    </w:p>
    <w:p w:rsidR="00743DA6" w:rsidRDefault="00D95D19">
      <w:pPr>
        <w:jc w:val="both"/>
        <w:rPr>
          <w:sz w:val="22"/>
          <w:szCs w:val="22"/>
        </w:rPr>
      </w:pPr>
      <w:r>
        <w:rPr>
          <w:sz w:val="22"/>
          <w:szCs w:val="22"/>
        </w:rPr>
        <w:t xml:space="preserve">Con un panorama así resulta preocupante la reducción presupuestal en actividades que materializan estrategias pedagógicas que contribuyan con el cambio cultural y la reducción de VBG. </w:t>
      </w:r>
    </w:p>
    <w:p w:rsidR="00743DA6" w:rsidRDefault="00743DA6">
      <w:pPr>
        <w:jc w:val="both"/>
        <w:rPr>
          <w:sz w:val="22"/>
          <w:szCs w:val="22"/>
        </w:rPr>
      </w:pPr>
    </w:p>
    <w:p w:rsidR="00743DA6" w:rsidRDefault="00D95D19">
      <w:pPr>
        <w:jc w:val="both"/>
        <w:rPr>
          <w:sz w:val="22"/>
          <w:szCs w:val="22"/>
        </w:rPr>
      </w:pPr>
      <w:r>
        <w:rPr>
          <w:sz w:val="22"/>
          <w:szCs w:val="22"/>
        </w:rPr>
        <w:t>De igual manera el proyecto de inversión 7965: "Fortalecimiento del Fomento para el Desarrollo de Procesos Culturales Sostenibles" disminuye en un -12,97% equivalente a $7.800 millones  (pasando de una inversión en 2025 de $50.000 millones a 2026 con $42.000 millones de pesos) esta reducción constituye una alarma y una amenaza para un modelo de ciudad que busca democratizar la cultura y hacer accesible la participación  en los procesos de fomento y divulgación artística.  La meta afectada es la de entregar 9.702 estímulos a 20 localidades.</w:t>
      </w:r>
    </w:p>
    <w:p w:rsidR="00743DA6" w:rsidRDefault="00743DA6">
      <w:pPr>
        <w:jc w:val="both"/>
        <w:rPr>
          <w:sz w:val="22"/>
          <w:szCs w:val="22"/>
        </w:rPr>
      </w:pPr>
    </w:p>
    <w:p w:rsidR="00743DA6" w:rsidRDefault="00D95D19">
      <w:pPr>
        <w:jc w:val="both"/>
        <w:rPr>
          <w:sz w:val="22"/>
          <w:szCs w:val="22"/>
        </w:rPr>
      </w:pPr>
      <w:r>
        <w:rPr>
          <w:sz w:val="22"/>
          <w:szCs w:val="22"/>
        </w:rPr>
        <w:t xml:space="preserve">La reducción de $10.200 millones en las actividades proyectadas en esta meta que buscan entregar estos estímulos, becas y apoyos afecta directamente a las organizaciones sociales, barriales, procesos de base comunitarios, colectividades y agrupaciones culturales que realizan proyecciones de trabajo con base en estos estímulos. </w:t>
      </w:r>
    </w:p>
    <w:p w:rsidR="00743DA6" w:rsidRDefault="00743DA6">
      <w:pPr>
        <w:jc w:val="both"/>
        <w:rPr>
          <w:sz w:val="22"/>
          <w:szCs w:val="22"/>
        </w:rPr>
      </w:pPr>
    </w:p>
    <w:p w:rsidR="00743DA6" w:rsidRDefault="00D95D19">
      <w:pPr>
        <w:jc w:val="both"/>
        <w:rPr>
          <w:sz w:val="22"/>
          <w:szCs w:val="22"/>
        </w:rPr>
      </w:pPr>
      <w:r>
        <w:rPr>
          <w:sz w:val="22"/>
          <w:szCs w:val="22"/>
        </w:rPr>
        <w:t>Finalmente, el proyecto de inversión 7970, “Fortalecimiento del acceso a la cultura escrita de los habitantes de Bogotá”, presenta para 2026 una disminución presupuestal de $4.083 millones, lo que impacta de manera directa la garantía de los derechos culturales y la materialización del Artículo 17 del Plan Distrital de Desarrollo 2024–2027, que establece el fortalecimiento de las bibliotecas comunitarias en el marco de la política pública LEO.</w:t>
      </w:r>
    </w:p>
    <w:p w:rsidR="00743DA6" w:rsidRDefault="00743DA6">
      <w:pPr>
        <w:jc w:val="both"/>
      </w:pPr>
    </w:p>
    <w:p w:rsidR="00743DA6" w:rsidRDefault="00D95D19">
      <w:pPr>
        <w:jc w:val="both"/>
        <w:rPr>
          <w:b/>
          <w:bCs/>
        </w:rPr>
      </w:pPr>
      <w:r>
        <w:rPr>
          <w:b/>
          <w:bCs/>
        </w:rPr>
        <w:t xml:space="preserve">Tabla No. 25 </w:t>
      </w:r>
      <w:r>
        <w:rPr>
          <w:b/>
          <w:bCs/>
          <w:sz w:val="22"/>
          <w:szCs w:val="22"/>
        </w:rPr>
        <w:t xml:space="preserve">Tabla x: Presupuesto Proyecto 7970 SDCRD </w:t>
      </w:r>
    </w:p>
    <w:p w:rsidR="00743DA6" w:rsidRDefault="00743DA6">
      <w:pPr>
        <w:jc w:val="both"/>
        <w:rPr>
          <w:sz w:val="18"/>
          <w:szCs w:val="18"/>
        </w:rPr>
      </w:pPr>
    </w:p>
    <w:tbl>
      <w:tblPr>
        <w:tblStyle w:val="affffff5"/>
        <w:tblW w:w="8715" w:type="dxa"/>
        <w:tblBorders>
          <w:top w:val="nil"/>
          <w:left w:val="nil"/>
          <w:bottom w:val="nil"/>
          <w:right w:val="nil"/>
          <w:insideH w:val="nil"/>
          <w:insideV w:val="nil"/>
        </w:tblBorders>
        <w:tblLayout w:type="fixed"/>
        <w:tblLook w:val="0600" w:firstRow="0" w:lastRow="0" w:firstColumn="0" w:lastColumn="0" w:noHBand="1" w:noVBand="1"/>
      </w:tblPr>
      <w:tblGrid>
        <w:gridCol w:w="630"/>
        <w:gridCol w:w="3270"/>
        <w:gridCol w:w="870"/>
        <w:gridCol w:w="1020"/>
        <w:gridCol w:w="1050"/>
        <w:gridCol w:w="945"/>
        <w:gridCol w:w="930"/>
      </w:tblGrid>
      <w:tr w:rsidR="00743DA6">
        <w:trPr>
          <w:trHeight w:val="283"/>
        </w:trPr>
        <w:tc>
          <w:tcPr>
            <w:tcW w:w="630" w:type="dxa"/>
            <w:tcBorders>
              <w:top w:val="single" w:sz="5" w:space="0" w:color="000000"/>
              <w:left w:val="single" w:sz="5" w:space="0" w:color="000000"/>
              <w:bottom w:val="single" w:sz="5" w:space="0" w:color="000000"/>
              <w:right w:val="single" w:sz="5" w:space="0" w:color="000000"/>
            </w:tcBorders>
            <w:shd w:val="clear" w:color="auto" w:fill="DEEAF6"/>
            <w:tcMar>
              <w:top w:w="0" w:type="dxa"/>
              <w:left w:w="100" w:type="dxa"/>
              <w:bottom w:w="0" w:type="dxa"/>
              <w:right w:w="100" w:type="dxa"/>
            </w:tcMar>
          </w:tcPr>
          <w:p w:rsidR="00743DA6" w:rsidRDefault="00D95D19">
            <w:pPr>
              <w:spacing w:before="240" w:line="276" w:lineRule="auto"/>
              <w:jc w:val="both"/>
              <w:rPr>
                <w:b/>
                <w:bCs/>
                <w:sz w:val="18"/>
                <w:szCs w:val="18"/>
              </w:rPr>
            </w:pPr>
            <w:r>
              <w:rPr>
                <w:b/>
                <w:bCs/>
                <w:sz w:val="18"/>
                <w:szCs w:val="18"/>
              </w:rPr>
              <w:t xml:space="preserve"> </w:t>
            </w:r>
          </w:p>
        </w:tc>
        <w:tc>
          <w:tcPr>
            <w:tcW w:w="3270" w:type="dxa"/>
            <w:tcBorders>
              <w:top w:val="single" w:sz="5" w:space="0" w:color="000000"/>
              <w:left w:val="nil"/>
              <w:bottom w:val="single" w:sz="5" w:space="0" w:color="000000"/>
              <w:right w:val="single" w:sz="5" w:space="0" w:color="000000"/>
            </w:tcBorders>
            <w:shd w:val="clear" w:color="auto" w:fill="DEEAF6"/>
            <w:tcMar>
              <w:top w:w="0" w:type="dxa"/>
              <w:left w:w="100" w:type="dxa"/>
              <w:bottom w:w="0" w:type="dxa"/>
              <w:right w:w="100" w:type="dxa"/>
            </w:tcMar>
          </w:tcPr>
          <w:p w:rsidR="00743DA6" w:rsidRDefault="00D95D19">
            <w:pPr>
              <w:spacing w:before="240" w:line="276" w:lineRule="auto"/>
              <w:jc w:val="both"/>
              <w:rPr>
                <w:rFonts w:ascii="Arial" w:eastAsia="Arial" w:hAnsi="Arial" w:cs="Arial"/>
                <w:b/>
                <w:bCs/>
                <w:sz w:val="18"/>
                <w:szCs w:val="18"/>
              </w:rPr>
            </w:pPr>
            <w:r>
              <w:rPr>
                <w:rFonts w:ascii="Arial" w:eastAsia="Arial" w:hAnsi="Arial" w:cs="Arial"/>
                <w:b/>
                <w:bCs/>
                <w:sz w:val="18"/>
                <w:szCs w:val="18"/>
              </w:rPr>
              <w:t>DESCRIPCIÓN</w:t>
            </w:r>
          </w:p>
        </w:tc>
        <w:tc>
          <w:tcPr>
            <w:tcW w:w="870" w:type="dxa"/>
            <w:tcBorders>
              <w:top w:val="single" w:sz="5" w:space="0" w:color="000000"/>
              <w:left w:val="single" w:sz="5" w:space="0" w:color="000000"/>
              <w:bottom w:val="single" w:sz="5" w:space="0" w:color="000000"/>
              <w:right w:val="single" w:sz="5" w:space="0" w:color="000000"/>
            </w:tcBorders>
            <w:shd w:val="clear" w:color="auto" w:fill="DEEAF6"/>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Suma de 2025_PROG </w:t>
            </w:r>
          </w:p>
        </w:tc>
        <w:tc>
          <w:tcPr>
            <w:tcW w:w="1020" w:type="dxa"/>
            <w:tcBorders>
              <w:top w:val="single" w:sz="5" w:space="0" w:color="000000"/>
              <w:left w:val="single" w:sz="5" w:space="0" w:color="000000"/>
              <w:bottom w:val="single" w:sz="5" w:space="0" w:color="000000"/>
              <w:right w:val="single" w:sz="5" w:space="0" w:color="000000"/>
            </w:tcBorders>
            <w:shd w:val="clear" w:color="auto" w:fill="DEEAF6"/>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Suma de 2025_COMPROMISOS </w:t>
            </w:r>
          </w:p>
        </w:tc>
        <w:tc>
          <w:tcPr>
            <w:tcW w:w="1050" w:type="dxa"/>
            <w:tcBorders>
              <w:top w:val="single" w:sz="5" w:space="0" w:color="000000"/>
              <w:left w:val="single" w:sz="5" w:space="0" w:color="000000"/>
              <w:bottom w:val="single" w:sz="5" w:space="0" w:color="000000"/>
              <w:right w:val="single" w:sz="5" w:space="0" w:color="000000"/>
            </w:tcBorders>
            <w:shd w:val="clear" w:color="auto" w:fill="DEEAF6"/>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Suma de 2025_GIROS </w:t>
            </w:r>
          </w:p>
        </w:tc>
        <w:tc>
          <w:tcPr>
            <w:tcW w:w="945" w:type="dxa"/>
            <w:tcBorders>
              <w:top w:val="single" w:sz="5" w:space="0" w:color="000000"/>
              <w:left w:val="single" w:sz="5" w:space="0" w:color="000000"/>
              <w:bottom w:val="single" w:sz="5" w:space="0" w:color="000000"/>
              <w:right w:val="single" w:sz="5" w:space="0" w:color="000000"/>
            </w:tcBorders>
            <w:shd w:val="clear" w:color="auto" w:fill="DEEAF6"/>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Suma de 2026_PROG </w:t>
            </w:r>
          </w:p>
        </w:tc>
        <w:tc>
          <w:tcPr>
            <w:tcW w:w="930" w:type="dxa"/>
            <w:tcBorders>
              <w:top w:val="single" w:sz="5" w:space="0" w:color="000000"/>
              <w:left w:val="single" w:sz="5" w:space="0" w:color="000000"/>
              <w:bottom w:val="single" w:sz="5" w:space="0" w:color="000000"/>
              <w:right w:val="single" w:sz="5" w:space="0" w:color="000000"/>
            </w:tcBorders>
            <w:shd w:val="clear" w:color="auto" w:fill="DEEAF6"/>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b/>
                <w:bCs/>
                <w:sz w:val="18"/>
                <w:szCs w:val="18"/>
              </w:rPr>
              <w:t xml:space="preserve"> Suma de Diferencia PROG </w:t>
            </w:r>
          </w:p>
        </w:tc>
      </w:tr>
      <w:tr w:rsidR="00743DA6">
        <w:trPr>
          <w:trHeight w:val="283"/>
        </w:trPr>
        <w:tc>
          <w:tcPr>
            <w:tcW w:w="63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b/>
                <w:bCs/>
                <w:sz w:val="18"/>
                <w:szCs w:val="18"/>
              </w:rPr>
            </w:pPr>
            <w:r>
              <w:rPr>
                <w:b/>
                <w:bCs/>
                <w:sz w:val="18"/>
                <w:szCs w:val="18"/>
              </w:rPr>
              <w:t>7970</w:t>
            </w: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b/>
                <w:bCs/>
                <w:sz w:val="18"/>
                <w:szCs w:val="18"/>
              </w:rPr>
            </w:pPr>
            <w:r>
              <w:rPr>
                <w:rFonts w:ascii="Arial" w:eastAsia="Arial" w:hAnsi="Arial" w:cs="Arial"/>
                <w:b/>
                <w:bCs/>
                <w:sz w:val="18"/>
                <w:szCs w:val="18"/>
              </w:rPr>
              <w:t>Fortalecimiento del acceso a la cultura escrita de los habitantes de Bogotá D.C</w:t>
            </w:r>
          </w:p>
        </w:tc>
        <w:tc>
          <w:tcPr>
            <w:tcW w:w="8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b/>
                <w:bCs/>
                <w:sz w:val="18"/>
                <w:szCs w:val="18"/>
              </w:rPr>
            </w:pPr>
            <w:r>
              <w:rPr>
                <w:rFonts w:ascii="Arial" w:eastAsia="Arial" w:hAnsi="Arial" w:cs="Arial"/>
                <w:b/>
                <w:bCs/>
                <w:sz w:val="18"/>
                <w:szCs w:val="18"/>
              </w:rPr>
              <w:t>$57.474</w:t>
            </w:r>
          </w:p>
        </w:tc>
        <w:tc>
          <w:tcPr>
            <w:tcW w:w="102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b/>
                <w:bCs/>
                <w:sz w:val="18"/>
                <w:szCs w:val="18"/>
              </w:rPr>
            </w:pPr>
            <w:r>
              <w:rPr>
                <w:rFonts w:ascii="Arial" w:eastAsia="Arial" w:hAnsi="Arial" w:cs="Arial"/>
                <w:b/>
                <w:bCs/>
                <w:sz w:val="18"/>
                <w:szCs w:val="18"/>
              </w:rPr>
              <w:t xml:space="preserve"> $ 56.089</w:t>
            </w:r>
          </w:p>
        </w:tc>
        <w:tc>
          <w:tcPr>
            <w:tcW w:w="105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b/>
                <w:bCs/>
                <w:sz w:val="18"/>
                <w:szCs w:val="18"/>
              </w:rPr>
            </w:pPr>
            <w:r>
              <w:rPr>
                <w:rFonts w:ascii="Arial" w:eastAsia="Arial" w:hAnsi="Arial" w:cs="Arial"/>
                <w:b/>
                <w:bCs/>
                <w:sz w:val="18"/>
                <w:szCs w:val="18"/>
              </w:rPr>
              <w:t xml:space="preserve"> $ 38.353</w:t>
            </w: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b/>
                <w:bCs/>
                <w:sz w:val="18"/>
                <w:szCs w:val="18"/>
              </w:rPr>
            </w:pPr>
            <w:r>
              <w:rPr>
                <w:rFonts w:ascii="Arial" w:eastAsia="Arial" w:hAnsi="Arial" w:cs="Arial"/>
                <w:b/>
                <w:bCs/>
                <w:sz w:val="18"/>
                <w:szCs w:val="18"/>
              </w:rPr>
              <w:t>$53.392</w:t>
            </w:r>
          </w:p>
        </w:tc>
        <w:tc>
          <w:tcPr>
            <w:tcW w:w="93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-$ 4.083</w:t>
            </w:r>
          </w:p>
        </w:tc>
      </w:tr>
      <w:tr w:rsidR="00743DA6">
        <w:trPr>
          <w:trHeight w:val="283"/>
        </w:trPr>
        <w:tc>
          <w:tcPr>
            <w:tcW w:w="63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sz w:val="18"/>
                <w:szCs w:val="18"/>
              </w:rPr>
            </w:pPr>
            <w:r>
              <w:rPr>
                <w:sz w:val="18"/>
                <w:szCs w:val="18"/>
              </w:rPr>
              <w:t>Meta</w:t>
            </w: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Alcanzar 18000000 de visitas a las bibliotecas espacios de lectura y espacios alternativos de interacción con lectura y escritura creativa y crítica en el marco de los productos establecidos de la política pública de Lectura, Escritura y Oralidad</w:t>
            </w:r>
          </w:p>
        </w:tc>
        <w:tc>
          <w:tcPr>
            <w:tcW w:w="8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$56.443</w:t>
            </w:r>
          </w:p>
        </w:tc>
        <w:tc>
          <w:tcPr>
            <w:tcW w:w="102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xml:space="preserve"> $ 55.057</w:t>
            </w:r>
          </w:p>
        </w:tc>
        <w:tc>
          <w:tcPr>
            <w:tcW w:w="105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xml:space="preserve"> $ 38.353</w:t>
            </w: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$52.892</w:t>
            </w:r>
          </w:p>
        </w:tc>
        <w:tc>
          <w:tcPr>
            <w:tcW w:w="93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-$ 3.551</w:t>
            </w:r>
          </w:p>
        </w:tc>
      </w:tr>
      <w:tr w:rsidR="00743DA6">
        <w:trPr>
          <w:trHeight w:val="283"/>
        </w:trPr>
        <w:tc>
          <w:tcPr>
            <w:tcW w:w="63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sz w:val="18"/>
                <w:szCs w:val="18"/>
              </w:rPr>
            </w:pPr>
            <w:r>
              <w:rPr>
                <w:sz w:val="18"/>
                <w:szCs w:val="18"/>
              </w:rPr>
              <w:t>Act.1</w:t>
            </w: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1 - Lograr 18000000 Visita(s) a las bibliotecas, espacios de lectura y espacios alternativas de interacción con lectura y escritura creativa y crítica a través de la gestión y aseguramiento del funcionamiento de los espacios bibliotecarios.</w:t>
            </w:r>
          </w:p>
        </w:tc>
        <w:tc>
          <w:tcPr>
            <w:tcW w:w="8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$49.868</w:t>
            </w:r>
          </w:p>
        </w:tc>
        <w:tc>
          <w:tcPr>
            <w:tcW w:w="102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xml:space="preserve"> $48.578</w:t>
            </w:r>
          </w:p>
        </w:tc>
        <w:tc>
          <w:tcPr>
            <w:tcW w:w="105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xml:space="preserve"> $ 36.019</w:t>
            </w: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$51.603</w:t>
            </w:r>
          </w:p>
        </w:tc>
        <w:tc>
          <w:tcPr>
            <w:tcW w:w="93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xml:space="preserve"> $ 1.736</w:t>
            </w:r>
          </w:p>
        </w:tc>
      </w:tr>
      <w:tr w:rsidR="00743DA6">
        <w:trPr>
          <w:trHeight w:val="283"/>
        </w:trPr>
        <w:tc>
          <w:tcPr>
            <w:tcW w:w="63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Act.2</w:t>
            </w:r>
          </w:p>
        </w:tc>
        <w:tc>
          <w:tcPr>
            <w:tcW w:w="32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2 - Ejecutar 100% para el fomento y promoción de la cultura escrita</w:t>
            </w:r>
          </w:p>
        </w:tc>
        <w:tc>
          <w:tcPr>
            <w:tcW w:w="8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xml:space="preserve"> $ 6.575</w:t>
            </w:r>
          </w:p>
        </w:tc>
        <w:tc>
          <w:tcPr>
            <w:tcW w:w="102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xml:space="preserve"> $ 6.480</w:t>
            </w:r>
          </w:p>
        </w:tc>
        <w:tc>
          <w:tcPr>
            <w:tcW w:w="105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xml:space="preserve"> $ 2.334</w:t>
            </w: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 xml:space="preserve"> $ 1.288</w:t>
            </w:r>
          </w:p>
        </w:tc>
        <w:tc>
          <w:tcPr>
            <w:tcW w:w="93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line="276" w:lineRule="auto"/>
              <w:jc w:val="both"/>
              <w:rPr>
                <w:rFonts w:ascii="Arial" w:eastAsia="Arial" w:hAnsi="Arial" w:cs="Arial"/>
                <w:sz w:val="18"/>
                <w:szCs w:val="18"/>
              </w:rPr>
            </w:pPr>
            <w:r>
              <w:rPr>
                <w:rFonts w:ascii="Arial" w:eastAsia="Arial" w:hAnsi="Arial" w:cs="Arial"/>
                <w:sz w:val="18"/>
                <w:szCs w:val="18"/>
              </w:rPr>
              <w:t>-$5.287</w:t>
            </w:r>
          </w:p>
        </w:tc>
      </w:tr>
    </w:tbl>
    <w:p w:rsidR="00743DA6" w:rsidRDefault="00D95D19">
      <w:pPr>
        <w:jc w:val="both"/>
        <w:rPr>
          <w:sz w:val="18"/>
          <w:szCs w:val="18"/>
        </w:rPr>
      </w:pPr>
      <w:r>
        <w:rPr>
          <w:sz w:val="18"/>
          <w:szCs w:val="18"/>
        </w:rPr>
        <w:t>Fuente: Elaboración propia (2025) con base en la información suministrada por la SDH (2025)</w:t>
      </w:r>
    </w:p>
    <w:p w:rsidR="00743DA6" w:rsidRDefault="00743DA6">
      <w:pPr>
        <w:jc w:val="both"/>
      </w:pPr>
    </w:p>
    <w:p w:rsidR="00743DA6" w:rsidRDefault="00D95D19">
      <w:pPr>
        <w:jc w:val="both"/>
        <w:rPr>
          <w:sz w:val="22"/>
          <w:szCs w:val="22"/>
        </w:rPr>
      </w:pPr>
      <w:r>
        <w:rPr>
          <w:sz w:val="22"/>
          <w:szCs w:val="22"/>
        </w:rPr>
        <w:t>La tabla evidencia que la mayor reducción dentro del proyecto 7970 recae sobre la actividad orientada a ejecutar el 100 % de las acciones de fomento y promoción de la lectura y la escritura, la cual disminuye en $5.200 millones. Esta desfinanciación restringe el acceso a servicios fundamentales para comunidades que encuentran en las bibliotecas un espacio de formación, acceso al conocimiento y oferta cultural.</w:t>
      </w:r>
    </w:p>
    <w:p w:rsidR="00743DA6" w:rsidRDefault="00743DA6">
      <w:pPr>
        <w:jc w:val="both"/>
        <w:rPr>
          <w:sz w:val="22"/>
          <w:szCs w:val="22"/>
        </w:rPr>
      </w:pPr>
    </w:p>
    <w:p w:rsidR="00743DA6" w:rsidRDefault="00D95D19">
      <w:pPr>
        <w:jc w:val="both"/>
        <w:rPr>
          <w:sz w:val="22"/>
          <w:szCs w:val="22"/>
        </w:rPr>
      </w:pPr>
      <w:r>
        <w:rPr>
          <w:sz w:val="22"/>
          <w:szCs w:val="22"/>
        </w:rPr>
        <w:t>En cuanto a los Proyectos Bibliotecarios Comunes (PBC), surgidos en el marco de Barrios Vivos y orientados a fortalecer el ecosistema bibliotecario mediante la articulación entre la Dirección de Lectura y Bibliotecas, BibloRed y las bibliotecas comunitarias, también enfrentarían impactos negativos. Tanto la reducción del proyecto 7970 como la del proyecto 7965 comprometieron el apoyo técnico, los estímulos y los procesos colaborativos que han permitido consolidar prácticas autónomas y redes de trabajo comunitario en los territorios.</w:t>
      </w:r>
    </w:p>
    <w:p w:rsidR="00743DA6" w:rsidRDefault="00743DA6">
      <w:pPr>
        <w:jc w:val="both"/>
      </w:pPr>
    </w:p>
    <w:p w:rsidR="00743DA6" w:rsidRDefault="00D95D19">
      <w:pPr>
        <w:jc w:val="center"/>
        <w:rPr>
          <w:b/>
          <w:bCs/>
          <w:sz w:val="22"/>
          <w:szCs w:val="22"/>
        </w:rPr>
      </w:pPr>
      <w:r>
        <w:rPr>
          <w:b/>
          <w:bCs/>
          <w:sz w:val="22"/>
          <w:szCs w:val="22"/>
        </w:rPr>
        <w:t xml:space="preserve">Tabla 26. Riesgos operativos con recorte al 7990 </w:t>
      </w:r>
    </w:p>
    <w:p w:rsidR="00743DA6" w:rsidRDefault="00743DA6">
      <w:pPr>
        <w:jc w:val="both"/>
        <w:rPr>
          <w:sz w:val="18"/>
          <w:szCs w:val="18"/>
        </w:rPr>
      </w:pPr>
    </w:p>
    <w:tbl>
      <w:tblPr>
        <w:tblStyle w:val="affffff6"/>
        <w:tblW w:w="8595" w:type="dxa"/>
        <w:tblBorders>
          <w:top w:val="nil"/>
          <w:left w:val="nil"/>
          <w:bottom w:val="nil"/>
          <w:right w:val="nil"/>
          <w:insideH w:val="nil"/>
          <w:insideV w:val="nil"/>
        </w:tblBorders>
        <w:tblLayout w:type="fixed"/>
        <w:tblLook w:val="0600" w:firstRow="0" w:lastRow="0" w:firstColumn="0" w:lastColumn="0" w:noHBand="1" w:noVBand="1"/>
      </w:tblPr>
      <w:tblGrid>
        <w:gridCol w:w="2880"/>
        <w:gridCol w:w="3435"/>
        <w:gridCol w:w="2280"/>
      </w:tblGrid>
      <w:tr w:rsidR="00743DA6">
        <w:trPr>
          <w:trHeight w:val="453"/>
        </w:trPr>
        <w:tc>
          <w:tcPr>
            <w:tcW w:w="2880" w:type="dxa"/>
            <w:tcBorders>
              <w:top w:val="single" w:sz="5" w:space="0" w:color="000000"/>
              <w:left w:val="single" w:sz="5" w:space="0" w:color="000000"/>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b/>
                <w:bCs/>
                <w:sz w:val="20"/>
                <w:szCs w:val="20"/>
              </w:rPr>
            </w:pPr>
            <w:r>
              <w:rPr>
                <w:b/>
                <w:bCs/>
                <w:sz w:val="20"/>
                <w:szCs w:val="20"/>
              </w:rPr>
              <w:t>Servicio</w:t>
            </w:r>
          </w:p>
        </w:tc>
        <w:tc>
          <w:tcPr>
            <w:tcW w:w="3435" w:type="dxa"/>
            <w:tcBorders>
              <w:top w:val="single" w:sz="5" w:space="0" w:color="000000"/>
              <w:left w:val="nil"/>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b/>
                <w:bCs/>
                <w:sz w:val="20"/>
                <w:szCs w:val="20"/>
              </w:rPr>
            </w:pPr>
            <w:r>
              <w:rPr>
                <w:b/>
                <w:bCs/>
                <w:sz w:val="20"/>
                <w:szCs w:val="20"/>
              </w:rPr>
              <w:t>Cobertura 2024-2025</w:t>
            </w:r>
          </w:p>
        </w:tc>
        <w:tc>
          <w:tcPr>
            <w:tcW w:w="2280" w:type="dxa"/>
            <w:tcBorders>
              <w:top w:val="single" w:sz="5" w:space="0" w:color="000000"/>
              <w:left w:val="nil"/>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rPr>
                <w:b/>
                <w:bCs/>
                <w:sz w:val="20"/>
                <w:szCs w:val="20"/>
              </w:rPr>
            </w:pPr>
            <w:r>
              <w:rPr>
                <w:b/>
                <w:bCs/>
                <w:sz w:val="20"/>
                <w:szCs w:val="20"/>
              </w:rPr>
              <w:t>Consecuencia del Recorte</w:t>
            </w:r>
          </w:p>
        </w:tc>
      </w:tr>
      <w:tr w:rsidR="00743DA6">
        <w:trPr>
          <w:trHeight w:val="453"/>
        </w:trPr>
        <w:tc>
          <w:tcPr>
            <w:tcW w:w="2880" w:type="dxa"/>
            <w:tcBorders>
              <w:top w:val="nil"/>
              <w:left w:val="single" w:sz="5" w:space="0" w:color="000000"/>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sz w:val="20"/>
                <w:szCs w:val="20"/>
              </w:rPr>
            </w:pPr>
            <w:r>
              <w:rPr>
                <w:sz w:val="20"/>
                <w:szCs w:val="20"/>
              </w:rPr>
              <w:t>Préstamo a domicilio</w:t>
            </w:r>
          </w:p>
        </w:tc>
        <w:tc>
          <w:tcPr>
            <w:tcW w:w="3435" w:type="dxa"/>
            <w:tcBorders>
              <w:top w:val="nil"/>
              <w:left w:val="nil"/>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sz w:val="20"/>
                <w:szCs w:val="20"/>
              </w:rPr>
            </w:pPr>
            <w:r>
              <w:rPr>
                <w:sz w:val="20"/>
                <w:szCs w:val="20"/>
              </w:rPr>
              <w:t>76.000 libros circulados</w:t>
            </w:r>
            <w:r>
              <w:rPr>
                <w:sz w:val="20"/>
                <w:szCs w:val="20"/>
              </w:rPr>
              <w:br/>
              <w:t xml:space="preserve"> 24.000 libros recogidos</w:t>
            </w:r>
          </w:p>
        </w:tc>
        <w:tc>
          <w:tcPr>
            <w:tcW w:w="2280" w:type="dxa"/>
            <w:tcBorders>
              <w:top w:val="nil"/>
              <w:left w:val="nil"/>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sz w:val="20"/>
                <w:szCs w:val="20"/>
              </w:rPr>
            </w:pPr>
            <w:r>
              <w:rPr>
                <w:sz w:val="20"/>
                <w:szCs w:val="20"/>
              </w:rPr>
              <w:t>SERVICIO ELIMINADO</w:t>
            </w:r>
          </w:p>
        </w:tc>
      </w:tr>
      <w:tr w:rsidR="00743DA6">
        <w:trPr>
          <w:trHeight w:val="453"/>
        </w:trPr>
        <w:tc>
          <w:tcPr>
            <w:tcW w:w="2880" w:type="dxa"/>
            <w:tcBorders>
              <w:top w:val="nil"/>
              <w:left w:val="single" w:sz="5" w:space="0" w:color="000000"/>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sz w:val="20"/>
                <w:szCs w:val="20"/>
              </w:rPr>
            </w:pPr>
            <w:r>
              <w:rPr>
                <w:sz w:val="20"/>
                <w:szCs w:val="20"/>
              </w:rPr>
              <w:t>Atención dominical</w:t>
            </w:r>
          </w:p>
        </w:tc>
        <w:tc>
          <w:tcPr>
            <w:tcW w:w="3435" w:type="dxa"/>
            <w:tcBorders>
              <w:top w:val="nil"/>
              <w:left w:val="nil"/>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sz w:val="20"/>
                <w:szCs w:val="20"/>
              </w:rPr>
            </w:pPr>
            <w:r>
              <w:rPr>
                <w:sz w:val="20"/>
                <w:szCs w:val="20"/>
              </w:rPr>
              <w:t>672.000 visitas en 9 bibliotecas</w:t>
            </w:r>
          </w:p>
        </w:tc>
        <w:tc>
          <w:tcPr>
            <w:tcW w:w="2280" w:type="dxa"/>
            <w:tcBorders>
              <w:top w:val="nil"/>
              <w:left w:val="nil"/>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sz w:val="20"/>
                <w:szCs w:val="20"/>
              </w:rPr>
            </w:pPr>
            <w:r>
              <w:rPr>
                <w:sz w:val="20"/>
                <w:szCs w:val="20"/>
              </w:rPr>
              <w:t>CIERRE DOMINICAL</w:t>
            </w:r>
          </w:p>
        </w:tc>
      </w:tr>
      <w:tr w:rsidR="00743DA6">
        <w:trPr>
          <w:trHeight w:val="453"/>
        </w:trPr>
        <w:tc>
          <w:tcPr>
            <w:tcW w:w="2880" w:type="dxa"/>
            <w:tcBorders>
              <w:top w:val="nil"/>
              <w:left w:val="single" w:sz="5" w:space="0" w:color="000000"/>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rPr>
                <w:sz w:val="20"/>
                <w:szCs w:val="20"/>
              </w:rPr>
            </w:pPr>
            <w:r>
              <w:rPr>
                <w:sz w:val="20"/>
                <w:szCs w:val="20"/>
              </w:rPr>
              <w:t>Compras a editoriales independientes</w:t>
            </w:r>
          </w:p>
        </w:tc>
        <w:tc>
          <w:tcPr>
            <w:tcW w:w="3435" w:type="dxa"/>
            <w:tcBorders>
              <w:top w:val="nil"/>
              <w:left w:val="nil"/>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sz w:val="20"/>
                <w:szCs w:val="20"/>
              </w:rPr>
            </w:pPr>
            <w:r>
              <w:rPr>
                <w:sz w:val="20"/>
                <w:szCs w:val="20"/>
              </w:rPr>
              <w:t>$725 M en 2024-2025</w:t>
            </w:r>
          </w:p>
        </w:tc>
        <w:tc>
          <w:tcPr>
            <w:tcW w:w="2280" w:type="dxa"/>
            <w:tcBorders>
              <w:top w:val="nil"/>
              <w:left w:val="nil"/>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sz w:val="20"/>
                <w:szCs w:val="20"/>
              </w:rPr>
            </w:pPr>
            <w:r>
              <w:rPr>
                <w:sz w:val="20"/>
                <w:szCs w:val="20"/>
              </w:rPr>
              <w:t>CERO COMPRAS 2026</w:t>
            </w:r>
          </w:p>
        </w:tc>
      </w:tr>
      <w:tr w:rsidR="00743DA6">
        <w:trPr>
          <w:trHeight w:val="453"/>
        </w:trPr>
        <w:tc>
          <w:tcPr>
            <w:tcW w:w="2880" w:type="dxa"/>
            <w:tcBorders>
              <w:top w:val="nil"/>
              <w:left w:val="single" w:sz="5" w:space="0" w:color="000000"/>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sz w:val="20"/>
                <w:szCs w:val="20"/>
              </w:rPr>
            </w:pPr>
            <w:r>
              <w:rPr>
                <w:sz w:val="20"/>
                <w:szCs w:val="20"/>
              </w:rPr>
              <w:t>Empleo estable</w:t>
            </w:r>
          </w:p>
        </w:tc>
        <w:tc>
          <w:tcPr>
            <w:tcW w:w="3435" w:type="dxa"/>
            <w:tcBorders>
              <w:top w:val="nil"/>
              <w:left w:val="nil"/>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sz w:val="20"/>
                <w:szCs w:val="20"/>
              </w:rPr>
            </w:pPr>
            <w:r>
              <w:rPr>
                <w:sz w:val="20"/>
                <w:szCs w:val="20"/>
              </w:rPr>
              <w:t>66 cargos profesionales</w:t>
            </w:r>
          </w:p>
        </w:tc>
        <w:tc>
          <w:tcPr>
            <w:tcW w:w="2280" w:type="dxa"/>
            <w:tcBorders>
              <w:top w:val="nil"/>
              <w:left w:val="nil"/>
              <w:bottom w:val="single" w:sz="5" w:space="0" w:color="000000"/>
              <w:right w:val="single" w:sz="5" w:space="0" w:color="000000"/>
            </w:tcBorders>
            <w:tcMar>
              <w:top w:w="-226" w:type="dxa"/>
              <w:left w:w="-226" w:type="dxa"/>
              <w:bottom w:w="-226" w:type="dxa"/>
              <w:right w:w="-226" w:type="dxa"/>
            </w:tcMar>
            <w:vAlign w:val="bottom"/>
          </w:tcPr>
          <w:p w:rsidR="00743DA6" w:rsidRDefault="00D95D19">
            <w:pPr>
              <w:spacing w:before="240" w:after="240"/>
              <w:jc w:val="both"/>
              <w:rPr>
                <w:sz w:val="20"/>
                <w:szCs w:val="20"/>
              </w:rPr>
            </w:pPr>
            <w:r>
              <w:rPr>
                <w:sz w:val="20"/>
                <w:szCs w:val="20"/>
              </w:rPr>
              <w:t>66 DESPIDOS</w:t>
            </w:r>
          </w:p>
        </w:tc>
      </w:tr>
    </w:tbl>
    <w:p w:rsidR="00743DA6" w:rsidRDefault="00D95D19">
      <w:pPr>
        <w:jc w:val="center"/>
        <w:rPr>
          <w:sz w:val="18"/>
          <w:szCs w:val="18"/>
        </w:rPr>
      </w:pPr>
      <w:r>
        <w:rPr>
          <w:sz w:val="18"/>
          <w:szCs w:val="18"/>
        </w:rPr>
        <w:t xml:space="preserve">Fuente: Elaboración propia (2025) con base en Rendición de Cuentas 2024 Secretaría de Cultura </w:t>
      </w:r>
    </w:p>
    <w:p w:rsidR="00743DA6" w:rsidRDefault="00743DA6">
      <w:pPr>
        <w:jc w:val="both"/>
      </w:pPr>
    </w:p>
    <w:p w:rsidR="00743DA6" w:rsidRDefault="00D95D19">
      <w:pPr>
        <w:jc w:val="both"/>
        <w:rPr>
          <w:sz w:val="22"/>
          <w:szCs w:val="22"/>
        </w:rPr>
      </w:pPr>
      <w:r>
        <w:rPr>
          <w:sz w:val="22"/>
          <w:szCs w:val="22"/>
        </w:rPr>
        <w:t>Asimismo, el ecosistema cultural de Bogotá enfrentaría afectaciones derivadas de la imposibilidad de abrir el portafolio de Estímulos, lo cual incidirá directamente en las bibliotecas comunitarias que históricamente han accedido a estos apoyos para fortalecer sus procesos locales. Adicionalmente, la ausencia de inversión sostenida podría comprometer el liderazgo nacional e internacional que BibloRed ha consolidado durante los últimos 25 años, limitando su participación en redes globales y reduciendo su capacidad de proyección como referencia para otras ciudades.</w:t>
      </w:r>
    </w:p>
    <w:p w:rsidR="00743DA6" w:rsidRDefault="00743DA6">
      <w:pPr>
        <w:jc w:val="both"/>
        <w:rPr>
          <w:sz w:val="22"/>
          <w:szCs w:val="22"/>
        </w:rPr>
      </w:pPr>
    </w:p>
    <w:p w:rsidR="00743DA6" w:rsidRDefault="00D95D19">
      <w:pPr>
        <w:jc w:val="both"/>
        <w:rPr>
          <w:sz w:val="22"/>
          <w:szCs w:val="22"/>
        </w:rPr>
      </w:pPr>
      <w:r>
        <w:rPr>
          <w:sz w:val="22"/>
          <w:szCs w:val="22"/>
        </w:rPr>
        <w:t>Bajo este escenario, garantizar la continuidad y el fortalecimiento de BibloRed y de los Proyectos Bibliotecarios Comunes se convierte en una necesidad estratégica. Estas iniciativas no solo representan una obligación institucional, sino que configuran un soporte clave para un modelo de ciudad que promueve procesos sociales, culturales y democráticos incluyentes. La inversión en bibliotecas públicas constituye, en ese sentido, una apuesta por el ejercicio ciudadano, la dignidad y los espacios de encuentro comunitario.</w:t>
      </w:r>
    </w:p>
    <w:p w:rsidR="00743DA6" w:rsidRDefault="00743DA6">
      <w:pPr>
        <w:jc w:val="both"/>
      </w:pPr>
    </w:p>
    <w:p w:rsidR="00743DA6" w:rsidRDefault="00D95D19">
      <w:pPr>
        <w:pBdr>
          <w:top w:val="nil"/>
          <w:left w:val="nil"/>
          <w:bottom w:val="nil"/>
          <w:right w:val="nil"/>
          <w:between w:val="nil"/>
        </w:pBdr>
        <w:spacing w:line="259" w:lineRule="auto"/>
        <w:rPr>
          <w:b/>
          <w:bCs/>
          <w:sz w:val="22"/>
          <w:szCs w:val="22"/>
        </w:rPr>
      </w:pPr>
      <w:r>
        <w:rPr>
          <w:b/>
          <w:bCs/>
          <w:color w:val="000000"/>
          <w:sz w:val="22"/>
          <w:szCs w:val="22"/>
        </w:rPr>
        <w:t>Orquesta Filarmónica de Bogotá</w:t>
      </w:r>
    </w:p>
    <w:p w:rsidR="00743DA6" w:rsidRDefault="00743DA6">
      <w:pPr>
        <w:pBdr>
          <w:top w:val="nil"/>
          <w:left w:val="nil"/>
          <w:bottom w:val="nil"/>
          <w:right w:val="nil"/>
          <w:between w:val="nil"/>
        </w:pBdr>
        <w:spacing w:line="259" w:lineRule="auto"/>
        <w:ind w:left="720"/>
        <w:rPr>
          <w:b/>
          <w:bCs/>
        </w:rPr>
      </w:pPr>
    </w:p>
    <w:p w:rsidR="00743DA6" w:rsidRDefault="00D95D19">
      <w:pPr>
        <w:spacing w:line="276" w:lineRule="auto"/>
        <w:jc w:val="center"/>
      </w:pPr>
      <w:r>
        <w:rPr>
          <w:sz w:val="22"/>
          <w:szCs w:val="22"/>
        </w:rPr>
        <w:t>Gráfica x Histórico Presupuestal 2022- 2025 Orquesta Filarmónica de Bogotá</w:t>
      </w:r>
      <w:r>
        <w:rPr>
          <w:noProof/>
          <w:lang w:val="es-CO"/>
        </w:rPr>
        <w:drawing>
          <wp:inline distT="114300" distB="114300" distL="114300" distR="114300">
            <wp:extent cx="5763578" cy="3258525"/>
            <wp:effectExtent l="0" t="0" r="0" b="0"/>
            <wp:docPr id="212739962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9"/>
                    <a:srcRect/>
                    <a:stretch>
                      <a:fillRect/>
                    </a:stretch>
                  </pic:blipFill>
                  <pic:spPr>
                    <a:xfrm>
                      <a:off x="0" y="0"/>
                      <a:ext cx="5763578" cy="3258525"/>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743DA6">
      <w:pPr>
        <w:pBdr>
          <w:top w:val="nil"/>
          <w:left w:val="nil"/>
          <w:bottom w:val="nil"/>
          <w:right w:val="nil"/>
          <w:between w:val="nil"/>
        </w:pBdr>
        <w:spacing w:line="259" w:lineRule="auto"/>
        <w:jc w:val="both"/>
      </w:pPr>
    </w:p>
    <w:p w:rsidR="00743DA6" w:rsidRDefault="00D95D19">
      <w:pPr>
        <w:spacing w:line="276" w:lineRule="auto"/>
        <w:jc w:val="both"/>
        <w:rPr>
          <w:sz w:val="22"/>
          <w:szCs w:val="22"/>
        </w:rPr>
      </w:pPr>
      <w:r>
        <w:rPr>
          <w:sz w:val="22"/>
          <w:szCs w:val="22"/>
        </w:rPr>
        <w:t>El presupuesto de funcionamiento de la OFB crece de manera constante entre 2022 y 2024 (de $32.915 millones a $37.085 millones), pero en 2025 cae drásticamente a $19.480 millones, lo que representa una reducción del 47,5%. En 2026 sube a $22.901 millones, aunque sigue por debajo de los niveles previos. La ejecución de funcionamiento se mantiene alta todos los años (entre 90% y 100%), mostrando buena capacidad de gestión. Por otro lado, la inversión directa tiene un aumento moderado entre 2022 y 2024 (de $32.344 millones a $36.392 millones), pero en 2025 presenta un salto excepcional hasta $200.148 millones, y un disponible de $226.186 millones, lo que explica el pico de la gráfica. En 2026 baja ligeramente a $215.022 millones, manteniéndose muy por encima de los valores históricos. Los compromisos de inversión también muestran ejecución sólida, incluso en 2025, con 82% a octubre pese al incremento masivo de recursos. En general, la gráfica evidencia estabilidad en funcionamiento pero un cambio abrupto y extraordinario en inversión durante 2025.</w:t>
      </w:r>
    </w:p>
    <w:p w:rsidR="00743DA6" w:rsidRDefault="00D95D19">
      <w:pPr>
        <w:spacing w:before="240" w:after="240" w:line="259" w:lineRule="auto"/>
        <w:jc w:val="center"/>
        <w:rPr>
          <w:b/>
          <w:bCs/>
          <w:sz w:val="22"/>
          <w:szCs w:val="22"/>
        </w:rPr>
      </w:pPr>
      <w:r>
        <w:rPr>
          <w:b/>
          <w:bCs/>
          <w:sz w:val="22"/>
          <w:szCs w:val="22"/>
        </w:rPr>
        <w:t>Tabla No. 27. Programación Presupuestal Comparada de Orquesta Filarmónica de Bogotá Vigencia 2025 y Proyecto de Presupuesto 2026</w:t>
      </w:r>
    </w:p>
    <w:tbl>
      <w:tblPr>
        <w:tblStyle w:val="affffff7"/>
        <w:tblW w:w="8775"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2310"/>
        <w:gridCol w:w="1395"/>
        <w:gridCol w:w="1215"/>
        <w:gridCol w:w="1410"/>
        <w:gridCol w:w="1200"/>
        <w:gridCol w:w="1245"/>
      </w:tblGrid>
      <w:tr w:rsidR="00743DA6">
        <w:trPr>
          <w:trHeight w:val="56"/>
        </w:trPr>
        <w:tc>
          <w:tcPr>
            <w:tcW w:w="23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Etiquetas de fila</w:t>
            </w:r>
          </w:p>
        </w:tc>
        <w:tc>
          <w:tcPr>
            <w:tcW w:w="139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Suma de 2025 PROG </w:t>
            </w:r>
          </w:p>
        </w:tc>
        <w:tc>
          <w:tcPr>
            <w:tcW w:w="121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Suma de 2025 COMPROMISOS</w:t>
            </w:r>
          </w:p>
        </w:tc>
        <w:tc>
          <w:tcPr>
            <w:tcW w:w="14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Suma de 2025 GIROS</w:t>
            </w:r>
          </w:p>
        </w:tc>
        <w:tc>
          <w:tcPr>
            <w:tcW w:w="120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Suma de 2026 PROG </w:t>
            </w:r>
          </w:p>
        </w:tc>
        <w:tc>
          <w:tcPr>
            <w:tcW w:w="124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Suma de Diferencia PROG </w:t>
            </w:r>
          </w:p>
        </w:tc>
      </w:tr>
      <w:tr w:rsidR="00743DA6">
        <w:trPr>
          <w:trHeight w:val="56"/>
        </w:trPr>
        <w:tc>
          <w:tcPr>
            <w:tcW w:w="23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rPr>
                <w:sz w:val="20"/>
                <w:szCs w:val="20"/>
              </w:rPr>
            </w:pPr>
            <w:r>
              <w:rPr>
                <w:sz w:val="20"/>
                <w:szCs w:val="20"/>
              </w:rPr>
              <w:t>8139</w:t>
            </w:r>
          </w:p>
          <w:p w:rsidR="00743DA6" w:rsidRDefault="00D95D19">
            <w:pPr>
              <w:spacing w:line="259" w:lineRule="auto"/>
            </w:pPr>
            <w:r>
              <w:rPr>
                <w:sz w:val="20"/>
                <w:szCs w:val="20"/>
              </w:rPr>
              <w:t>Consolidación Programa de Formación Musical "Vamos a la Filarmónica" Bogotá D.C.</w:t>
            </w:r>
          </w:p>
        </w:tc>
        <w:tc>
          <w:tcPr>
            <w:tcW w:w="139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$23.208,78</w:t>
            </w:r>
          </w:p>
        </w:tc>
        <w:tc>
          <w:tcPr>
            <w:tcW w:w="121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$20.699,55</w:t>
            </w:r>
          </w:p>
        </w:tc>
        <w:tc>
          <w:tcPr>
            <w:tcW w:w="14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$12.494,81</w:t>
            </w:r>
          </w:p>
        </w:tc>
        <w:tc>
          <w:tcPr>
            <w:tcW w:w="120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$21.906,12</w:t>
            </w:r>
          </w:p>
        </w:tc>
        <w:tc>
          <w:tcPr>
            <w:tcW w:w="124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-$1.302,66</w:t>
            </w:r>
          </w:p>
        </w:tc>
      </w:tr>
      <w:tr w:rsidR="00743DA6">
        <w:trPr>
          <w:trHeight w:val="56"/>
        </w:trPr>
        <w:tc>
          <w:tcPr>
            <w:tcW w:w="23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rPr>
                <w:sz w:val="20"/>
                <w:szCs w:val="20"/>
              </w:rPr>
            </w:pPr>
            <w:r>
              <w:rPr>
                <w:sz w:val="20"/>
                <w:szCs w:val="20"/>
              </w:rPr>
              <w:t>8139</w:t>
            </w:r>
          </w:p>
          <w:p w:rsidR="00743DA6" w:rsidRDefault="00D95D19">
            <w:pPr>
              <w:spacing w:line="259" w:lineRule="auto"/>
            </w:pPr>
            <w:r>
              <w:rPr>
                <w:sz w:val="20"/>
                <w:szCs w:val="20"/>
              </w:rPr>
              <w:t>Fortalecimiento de la capacidad administrativa y de la gestión institucional de la OFB Bogotá D.C.</w:t>
            </w:r>
          </w:p>
        </w:tc>
        <w:tc>
          <w:tcPr>
            <w:tcW w:w="139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$3.048,50</w:t>
            </w:r>
          </w:p>
        </w:tc>
        <w:tc>
          <w:tcPr>
            <w:tcW w:w="121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$ 2.239,46</w:t>
            </w:r>
          </w:p>
        </w:tc>
        <w:tc>
          <w:tcPr>
            <w:tcW w:w="14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$1.219,26</w:t>
            </w:r>
          </w:p>
        </w:tc>
        <w:tc>
          <w:tcPr>
            <w:tcW w:w="120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$2.898,97</w:t>
            </w:r>
          </w:p>
        </w:tc>
        <w:tc>
          <w:tcPr>
            <w:tcW w:w="124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-$ 149,53</w:t>
            </w:r>
          </w:p>
        </w:tc>
      </w:tr>
      <w:tr w:rsidR="00743DA6">
        <w:trPr>
          <w:trHeight w:val="56"/>
        </w:trPr>
        <w:tc>
          <w:tcPr>
            <w:tcW w:w="23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rPr>
                <w:sz w:val="20"/>
                <w:szCs w:val="20"/>
              </w:rPr>
            </w:pPr>
            <w:r>
              <w:rPr>
                <w:sz w:val="20"/>
                <w:szCs w:val="20"/>
              </w:rPr>
              <w:t>8128</w:t>
            </w:r>
          </w:p>
          <w:p w:rsidR="00743DA6" w:rsidRDefault="00D95D19">
            <w:pPr>
              <w:spacing w:line="259" w:lineRule="auto"/>
            </w:pPr>
            <w:r>
              <w:rPr>
                <w:sz w:val="20"/>
                <w:szCs w:val="20"/>
              </w:rPr>
              <w:t>Fortalecimiento Ciudad Creativa de la Música Bogotá D.C.</w:t>
            </w:r>
          </w:p>
        </w:tc>
        <w:tc>
          <w:tcPr>
            <w:tcW w:w="139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$15.012,07</w:t>
            </w:r>
          </w:p>
        </w:tc>
        <w:tc>
          <w:tcPr>
            <w:tcW w:w="121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$13.889,22</w:t>
            </w:r>
          </w:p>
        </w:tc>
        <w:tc>
          <w:tcPr>
            <w:tcW w:w="14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$8.474,48</w:t>
            </w:r>
          </w:p>
        </w:tc>
        <w:tc>
          <w:tcPr>
            <w:tcW w:w="120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$14.907,05</w:t>
            </w:r>
          </w:p>
        </w:tc>
        <w:tc>
          <w:tcPr>
            <w:tcW w:w="124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-$ 105,02</w:t>
            </w:r>
          </w:p>
        </w:tc>
      </w:tr>
      <w:tr w:rsidR="00743DA6">
        <w:trPr>
          <w:trHeight w:val="56"/>
        </w:trPr>
        <w:tc>
          <w:tcPr>
            <w:tcW w:w="23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rPr>
                <w:sz w:val="20"/>
                <w:szCs w:val="20"/>
              </w:rPr>
            </w:pPr>
            <w:r>
              <w:rPr>
                <w:sz w:val="20"/>
                <w:szCs w:val="20"/>
              </w:rPr>
              <w:t>8137</w:t>
            </w:r>
          </w:p>
          <w:p w:rsidR="00743DA6" w:rsidRDefault="00D95D19">
            <w:pPr>
              <w:spacing w:line="259" w:lineRule="auto"/>
            </w:pPr>
            <w:r>
              <w:rPr>
                <w:sz w:val="20"/>
                <w:szCs w:val="20"/>
              </w:rPr>
              <w:t>Implementación de  programa de fomento de la Orquesta Filarmónica Bogotá D.C.</w:t>
            </w:r>
          </w:p>
        </w:tc>
        <w:tc>
          <w:tcPr>
            <w:tcW w:w="139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$2.063,00</w:t>
            </w:r>
          </w:p>
        </w:tc>
        <w:tc>
          <w:tcPr>
            <w:tcW w:w="121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$1.687,16</w:t>
            </w:r>
          </w:p>
        </w:tc>
        <w:tc>
          <w:tcPr>
            <w:tcW w:w="14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$1.363,86</w:t>
            </w:r>
          </w:p>
        </w:tc>
        <w:tc>
          <w:tcPr>
            <w:tcW w:w="120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$2.153,27</w:t>
            </w:r>
          </w:p>
        </w:tc>
        <w:tc>
          <w:tcPr>
            <w:tcW w:w="124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$ 90,26</w:t>
            </w:r>
          </w:p>
        </w:tc>
      </w:tr>
      <w:tr w:rsidR="00743DA6">
        <w:trPr>
          <w:trHeight w:val="56"/>
        </w:trPr>
        <w:tc>
          <w:tcPr>
            <w:tcW w:w="23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rPr>
                <w:sz w:val="20"/>
                <w:szCs w:val="20"/>
              </w:rPr>
            </w:pPr>
            <w:r>
              <w:rPr>
                <w:sz w:val="20"/>
                <w:szCs w:val="20"/>
              </w:rPr>
              <w:t>8142</w:t>
            </w:r>
          </w:p>
          <w:p w:rsidR="00743DA6" w:rsidRDefault="00D95D19">
            <w:pPr>
              <w:spacing w:line="259" w:lineRule="auto"/>
            </w:pPr>
            <w:r>
              <w:rPr>
                <w:sz w:val="20"/>
                <w:szCs w:val="20"/>
              </w:rPr>
              <w:t>Mantenimiento equipamientos culturales de la OFB Bogotá D.C.</w:t>
            </w:r>
          </w:p>
        </w:tc>
        <w:tc>
          <w:tcPr>
            <w:tcW w:w="139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$280,33</w:t>
            </w:r>
          </w:p>
        </w:tc>
        <w:tc>
          <w:tcPr>
            <w:tcW w:w="121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$ 164,63</w:t>
            </w:r>
          </w:p>
        </w:tc>
        <w:tc>
          <w:tcPr>
            <w:tcW w:w="14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$ 83,29</w:t>
            </w:r>
          </w:p>
        </w:tc>
        <w:tc>
          <w:tcPr>
            <w:tcW w:w="120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$259,07</w:t>
            </w:r>
          </w:p>
        </w:tc>
        <w:tc>
          <w:tcPr>
            <w:tcW w:w="124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-$21,26</w:t>
            </w:r>
          </w:p>
        </w:tc>
      </w:tr>
      <w:tr w:rsidR="00743DA6">
        <w:trPr>
          <w:trHeight w:val="56"/>
        </w:trPr>
        <w:tc>
          <w:tcPr>
            <w:tcW w:w="23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Total general</w:t>
            </w:r>
          </w:p>
        </w:tc>
        <w:tc>
          <w:tcPr>
            <w:tcW w:w="139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$43.612,68</w:t>
            </w:r>
          </w:p>
        </w:tc>
        <w:tc>
          <w:tcPr>
            <w:tcW w:w="121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 xml:space="preserve"> $38.680,02</w:t>
            </w:r>
          </w:p>
        </w:tc>
        <w:tc>
          <w:tcPr>
            <w:tcW w:w="141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$23.635,69</w:t>
            </w:r>
          </w:p>
        </w:tc>
        <w:tc>
          <w:tcPr>
            <w:tcW w:w="1200"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$42.124,47</w:t>
            </w:r>
          </w:p>
        </w:tc>
        <w:tc>
          <w:tcPr>
            <w:tcW w:w="1245" w:type="dxa"/>
            <w:tcBorders>
              <w:top w:val="single" w:sz="7" w:space="0" w:color="000000"/>
              <w:left w:val="single" w:sz="7" w:space="0" w:color="000000"/>
              <w:bottom w:val="single" w:sz="7" w:space="0" w:color="000000"/>
              <w:right w:val="single" w:sz="7" w:space="0" w:color="000000"/>
            </w:tcBorders>
            <w:tcMar>
              <w:top w:w="-566" w:type="dxa"/>
              <w:left w:w="-566" w:type="dxa"/>
              <w:bottom w:w="-566" w:type="dxa"/>
              <w:right w:w="-566" w:type="dxa"/>
            </w:tcMar>
            <w:vAlign w:val="bottom"/>
          </w:tcPr>
          <w:p w:rsidR="00743DA6" w:rsidRDefault="00D95D19">
            <w:pPr>
              <w:spacing w:line="259" w:lineRule="auto"/>
            </w:pPr>
            <w:r>
              <w:rPr>
                <w:sz w:val="20"/>
                <w:szCs w:val="20"/>
              </w:rPr>
              <w:t>-$1.488,21</w:t>
            </w:r>
          </w:p>
        </w:tc>
      </w:tr>
    </w:tbl>
    <w:p w:rsidR="00743DA6" w:rsidRDefault="00D95D19">
      <w:pPr>
        <w:spacing w:line="276" w:lineRule="auto"/>
        <w:jc w:val="center"/>
        <w:rPr>
          <w:sz w:val="18"/>
          <w:szCs w:val="18"/>
        </w:rPr>
      </w:pPr>
      <w:r>
        <w:rPr>
          <w:b/>
          <w:bCs/>
          <w:sz w:val="18"/>
          <w:szCs w:val="18"/>
        </w:rPr>
        <w:t>Fuente:</w:t>
      </w:r>
      <w:r>
        <w:rPr>
          <w:sz w:val="18"/>
          <w:szCs w:val="18"/>
        </w:rPr>
        <w:t xml:space="preserve"> Elaboración propia (2025) con base en la información suministrada de la SDH (2025). </w:t>
      </w:r>
    </w:p>
    <w:p w:rsidR="00743DA6" w:rsidRDefault="00743DA6">
      <w:pPr>
        <w:spacing w:line="276" w:lineRule="auto"/>
        <w:jc w:val="both"/>
        <w:rPr>
          <w:sz w:val="16"/>
          <w:szCs w:val="16"/>
        </w:rPr>
      </w:pPr>
    </w:p>
    <w:p w:rsidR="00743DA6" w:rsidRDefault="00D95D19">
      <w:pPr>
        <w:pBdr>
          <w:top w:val="nil"/>
          <w:left w:val="nil"/>
          <w:bottom w:val="nil"/>
          <w:right w:val="nil"/>
          <w:between w:val="nil"/>
        </w:pBdr>
        <w:spacing w:line="259" w:lineRule="auto"/>
        <w:jc w:val="both"/>
        <w:rPr>
          <w:sz w:val="22"/>
          <w:szCs w:val="22"/>
        </w:rPr>
      </w:pPr>
      <w:r>
        <w:rPr>
          <w:sz w:val="22"/>
          <w:szCs w:val="22"/>
        </w:rPr>
        <w:t>Para 2026 la OFB presenta un presupuesto total programado de $42.124 millones, lo que representa una disminución neta de $1.488 millones frente a 2025 (dif. - 3,4%). Esta reducción afecta especialmente los proyectos asociados a formación musical, circulación artística y mantenimiento de equipamientos. El costo de funcionamiento administrativo también se reduce, aunque en menor proporción.</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A partir del consolidado, el presupuesto de inversión de la OFB 2026 se organiza en cuatro grandes proyectos:</w:t>
      </w:r>
    </w:p>
    <w:p w:rsidR="00743DA6" w:rsidRDefault="00743DA6">
      <w:pPr>
        <w:pBdr>
          <w:top w:val="nil"/>
          <w:left w:val="nil"/>
          <w:bottom w:val="nil"/>
          <w:right w:val="nil"/>
          <w:between w:val="nil"/>
        </w:pBdr>
        <w:spacing w:line="259" w:lineRule="auto"/>
        <w:jc w:val="both"/>
        <w:rPr>
          <w:sz w:val="22"/>
          <w:szCs w:val="22"/>
        </w:rPr>
      </w:pPr>
    </w:p>
    <w:p w:rsidR="00743DA6" w:rsidRDefault="00D95D19">
      <w:pPr>
        <w:numPr>
          <w:ilvl w:val="0"/>
          <w:numId w:val="27"/>
        </w:numPr>
        <w:pBdr>
          <w:top w:val="nil"/>
          <w:left w:val="nil"/>
          <w:bottom w:val="nil"/>
          <w:right w:val="nil"/>
          <w:between w:val="nil"/>
        </w:pBdr>
        <w:spacing w:line="259" w:lineRule="auto"/>
        <w:jc w:val="both"/>
        <w:rPr>
          <w:sz w:val="22"/>
          <w:szCs w:val="22"/>
        </w:rPr>
      </w:pPr>
      <w:r>
        <w:rPr>
          <w:b/>
          <w:bCs/>
          <w:sz w:val="22"/>
          <w:szCs w:val="22"/>
        </w:rPr>
        <w:t>8131</w:t>
      </w:r>
      <w:r>
        <w:rPr>
          <w:sz w:val="22"/>
          <w:szCs w:val="22"/>
        </w:rPr>
        <w:t xml:space="preserve"> de Formación Musical “Vamos a la Filarmónica”</w:t>
      </w:r>
    </w:p>
    <w:p w:rsidR="00743DA6" w:rsidRDefault="00D95D19">
      <w:pPr>
        <w:numPr>
          <w:ilvl w:val="0"/>
          <w:numId w:val="11"/>
        </w:numPr>
        <w:pBdr>
          <w:top w:val="nil"/>
          <w:left w:val="nil"/>
          <w:bottom w:val="nil"/>
          <w:right w:val="nil"/>
          <w:between w:val="nil"/>
        </w:pBdr>
        <w:spacing w:line="259" w:lineRule="auto"/>
        <w:jc w:val="both"/>
        <w:rPr>
          <w:sz w:val="22"/>
          <w:szCs w:val="22"/>
        </w:rPr>
      </w:pPr>
      <w:r>
        <w:rPr>
          <w:sz w:val="22"/>
          <w:szCs w:val="22"/>
        </w:rPr>
        <w:t>2026: $21.906 millones (–$1.302 millones)</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Es el proyecto más grande y núcleo misional de la OFB.  Entre las metas más afectadas por el recorte presupuestal están:</w:t>
      </w:r>
    </w:p>
    <w:p w:rsidR="00743DA6" w:rsidRDefault="00743DA6">
      <w:pPr>
        <w:pBdr>
          <w:top w:val="nil"/>
          <w:left w:val="nil"/>
          <w:bottom w:val="nil"/>
          <w:right w:val="nil"/>
          <w:between w:val="nil"/>
        </w:pBdr>
        <w:spacing w:line="259" w:lineRule="auto"/>
        <w:jc w:val="both"/>
        <w:rPr>
          <w:sz w:val="22"/>
          <w:szCs w:val="22"/>
        </w:rPr>
      </w:pPr>
    </w:p>
    <w:p w:rsidR="00743DA6" w:rsidRDefault="00D95D19">
      <w:pPr>
        <w:numPr>
          <w:ilvl w:val="0"/>
          <w:numId w:val="10"/>
        </w:numPr>
        <w:pBdr>
          <w:top w:val="nil"/>
          <w:left w:val="nil"/>
          <w:bottom w:val="nil"/>
          <w:right w:val="nil"/>
          <w:between w:val="nil"/>
        </w:pBdr>
        <w:spacing w:line="259" w:lineRule="auto"/>
        <w:jc w:val="both"/>
        <w:rPr>
          <w:sz w:val="22"/>
          <w:szCs w:val="22"/>
        </w:rPr>
      </w:pPr>
      <w:r>
        <w:rPr>
          <w:sz w:val="22"/>
          <w:szCs w:val="22"/>
        </w:rPr>
        <w:t>Formación musical en colegios y comunidades: disminución de –$1.160 millones.</w:t>
      </w:r>
    </w:p>
    <w:p w:rsidR="00743DA6" w:rsidRDefault="00D95D19">
      <w:pPr>
        <w:numPr>
          <w:ilvl w:val="0"/>
          <w:numId w:val="10"/>
        </w:numPr>
        <w:pBdr>
          <w:top w:val="nil"/>
          <w:left w:val="nil"/>
          <w:bottom w:val="nil"/>
          <w:right w:val="nil"/>
          <w:between w:val="nil"/>
        </w:pBdr>
        <w:spacing w:line="259" w:lineRule="auto"/>
        <w:jc w:val="both"/>
        <w:rPr>
          <w:sz w:val="22"/>
          <w:szCs w:val="22"/>
        </w:rPr>
      </w:pPr>
      <w:r>
        <w:rPr>
          <w:sz w:val="22"/>
          <w:szCs w:val="22"/>
        </w:rPr>
        <w:t>Circulación de procesos formativos (producciones musicales): caída de –$155 millones.</w:t>
      </w:r>
    </w:p>
    <w:p w:rsidR="00743DA6" w:rsidRDefault="00D95D19">
      <w:pPr>
        <w:numPr>
          <w:ilvl w:val="0"/>
          <w:numId w:val="10"/>
        </w:numPr>
        <w:pBdr>
          <w:top w:val="nil"/>
          <w:left w:val="nil"/>
          <w:bottom w:val="nil"/>
          <w:right w:val="nil"/>
          <w:between w:val="nil"/>
        </w:pBdr>
        <w:spacing w:line="259" w:lineRule="auto"/>
        <w:jc w:val="both"/>
        <w:rPr>
          <w:sz w:val="22"/>
          <w:szCs w:val="22"/>
        </w:rPr>
      </w:pPr>
      <w:r>
        <w:rPr>
          <w:sz w:val="22"/>
          <w:szCs w:val="22"/>
        </w:rPr>
        <w:t>Jornadas de capacitación y documentos de memoria musical: reducciones menores.</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Entre las metas que se mantienen o crecen levemente</w:t>
      </w:r>
    </w:p>
    <w:p w:rsidR="00743DA6" w:rsidRDefault="00CB348A">
      <w:pPr>
        <w:numPr>
          <w:ilvl w:val="0"/>
          <w:numId w:val="19"/>
        </w:numPr>
        <w:pBdr>
          <w:top w:val="nil"/>
          <w:left w:val="nil"/>
          <w:bottom w:val="nil"/>
          <w:right w:val="nil"/>
          <w:between w:val="nil"/>
        </w:pBdr>
        <w:spacing w:line="259" w:lineRule="auto"/>
        <w:jc w:val="both"/>
        <w:rPr>
          <w:sz w:val="22"/>
          <w:szCs w:val="22"/>
        </w:rPr>
      </w:pPr>
      <w:sdt>
        <w:sdtPr>
          <w:tag w:val="goog_rdk_461"/>
          <w:id w:val="398991089"/>
        </w:sdtPr>
        <w:sdtEndPr/>
        <w:sdtContent>
          <w:r w:rsidR="00D95D19">
            <w:rPr>
              <w:rFonts w:ascii="Arial Unicode MS" w:eastAsia="Arial Unicode MS" w:hAnsi="Arial Unicode MS" w:cs="Arial Unicode MS"/>
              <w:sz w:val="22"/>
              <w:szCs w:val="22"/>
            </w:rPr>
            <w:t>Formación musical a 80.575 niñas, niños y adolescentes → se mantiene estable (+$14 millones).</w:t>
          </w:r>
        </w:sdtContent>
      </w:sdt>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El recorte afecta particularmente la expansión territorial y la producción de resultados públicos, lo cual puede impactar la presencia comunitaria, especialmente en localidades con menor acceso a oferta cultural. Se preserva el “mínimo vital” del programa escolar, pero se reduce la capacidad de ampliación.</w:t>
      </w:r>
    </w:p>
    <w:p w:rsidR="00743DA6" w:rsidRDefault="00743DA6">
      <w:pPr>
        <w:pBdr>
          <w:top w:val="nil"/>
          <w:left w:val="nil"/>
          <w:bottom w:val="nil"/>
          <w:right w:val="nil"/>
          <w:between w:val="nil"/>
        </w:pBdr>
        <w:spacing w:line="259" w:lineRule="auto"/>
        <w:jc w:val="both"/>
        <w:rPr>
          <w:sz w:val="22"/>
          <w:szCs w:val="22"/>
        </w:rPr>
      </w:pPr>
    </w:p>
    <w:p w:rsidR="00743DA6" w:rsidRDefault="00D95D19">
      <w:pPr>
        <w:numPr>
          <w:ilvl w:val="0"/>
          <w:numId w:val="7"/>
        </w:numPr>
        <w:pBdr>
          <w:top w:val="nil"/>
          <w:left w:val="nil"/>
          <w:bottom w:val="nil"/>
          <w:right w:val="nil"/>
          <w:between w:val="nil"/>
        </w:pBdr>
        <w:spacing w:line="259" w:lineRule="auto"/>
        <w:jc w:val="both"/>
        <w:rPr>
          <w:sz w:val="22"/>
          <w:szCs w:val="22"/>
        </w:rPr>
      </w:pPr>
      <w:r>
        <w:rPr>
          <w:b/>
          <w:bCs/>
          <w:sz w:val="22"/>
          <w:szCs w:val="22"/>
        </w:rPr>
        <w:t xml:space="preserve">8139 </w:t>
      </w:r>
      <w:r>
        <w:rPr>
          <w:sz w:val="22"/>
          <w:szCs w:val="22"/>
        </w:rPr>
        <w:t>Fortalecimiento de la Capacidad Administrativa y de Gestión Institucional</w:t>
      </w:r>
    </w:p>
    <w:p w:rsidR="00743DA6" w:rsidRDefault="00D95D19">
      <w:pPr>
        <w:numPr>
          <w:ilvl w:val="0"/>
          <w:numId w:val="9"/>
        </w:numPr>
        <w:pBdr>
          <w:top w:val="nil"/>
          <w:left w:val="nil"/>
          <w:bottom w:val="nil"/>
          <w:right w:val="nil"/>
          <w:between w:val="nil"/>
        </w:pBdr>
        <w:spacing w:line="259" w:lineRule="auto"/>
        <w:jc w:val="both"/>
        <w:rPr>
          <w:sz w:val="22"/>
          <w:szCs w:val="22"/>
        </w:rPr>
      </w:pPr>
      <w:r>
        <w:rPr>
          <w:sz w:val="22"/>
          <w:szCs w:val="22"/>
        </w:rPr>
        <w:t>2026: $2.898 millones (–$149 millones)</w:t>
      </w:r>
    </w:p>
    <w:p w:rsidR="00743DA6" w:rsidRDefault="00743DA6">
      <w:pPr>
        <w:spacing w:line="259" w:lineRule="auto"/>
        <w:jc w:val="both"/>
        <w:rPr>
          <w:sz w:val="22"/>
          <w:szCs w:val="22"/>
        </w:rPr>
      </w:pPr>
    </w:p>
    <w:p w:rsidR="00743DA6" w:rsidRDefault="00D95D19">
      <w:pPr>
        <w:spacing w:line="259" w:lineRule="auto"/>
        <w:jc w:val="both"/>
        <w:rPr>
          <w:sz w:val="22"/>
          <w:szCs w:val="22"/>
        </w:rPr>
      </w:pPr>
      <w:r>
        <w:rPr>
          <w:sz w:val="22"/>
          <w:szCs w:val="22"/>
        </w:rPr>
        <w:t>Entre las metas más afectadas por el recorte presupuestal están:</w:t>
      </w:r>
    </w:p>
    <w:p w:rsidR="00743DA6" w:rsidRDefault="00D95D19">
      <w:pPr>
        <w:numPr>
          <w:ilvl w:val="0"/>
          <w:numId w:val="4"/>
        </w:numPr>
        <w:pBdr>
          <w:top w:val="nil"/>
          <w:left w:val="nil"/>
          <w:bottom w:val="nil"/>
          <w:right w:val="nil"/>
          <w:between w:val="nil"/>
        </w:pBdr>
        <w:spacing w:line="259" w:lineRule="auto"/>
        <w:jc w:val="both"/>
        <w:rPr>
          <w:sz w:val="22"/>
          <w:szCs w:val="22"/>
        </w:rPr>
      </w:pPr>
      <w:r>
        <w:rPr>
          <w:sz w:val="22"/>
          <w:szCs w:val="22"/>
        </w:rPr>
        <w:t>Implementación de sistemas de desempeño institucional (–$141 millones).</w:t>
      </w:r>
    </w:p>
    <w:p w:rsidR="00743DA6" w:rsidRDefault="00D95D19">
      <w:pPr>
        <w:numPr>
          <w:ilvl w:val="0"/>
          <w:numId w:val="37"/>
        </w:numPr>
        <w:pBdr>
          <w:top w:val="nil"/>
          <w:left w:val="nil"/>
          <w:bottom w:val="nil"/>
          <w:right w:val="nil"/>
          <w:between w:val="nil"/>
        </w:pBdr>
        <w:spacing w:line="259" w:lineRule="auto"/>
        <w:jc w:val="both"/>
        <w:rPr>
          <w:sz w:val="22"/>
          <w:szCs w:val="22"/>
        </w:rPr>
      </w:pPr>
      <w:r>
        <w:rPr>
          <w:sz w:val="22"/>
          <w:szCs w:val="22"/>
        </w:rPr>
        <w:t>Adecuación y sostenimiento de servicios tecnológicos (–$7,8 millones).</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La reducción compromete la modernización administrativa y tecnológica, afectando trámites, sistemas de información y capacidad de gestión. Para una entidad artística, esto golpea la sostenibilidad y la capacidad de relacionamiento con territorios y agentes culturales.</w:t>
      </w:r>
    </w:p>
    <w:p w:rsidR="00743DA6" w:rsidRDefault="00743DA6">
      <w:pPr>
        <w:pBdr>
          <w:top w:val="nil"/>
          <w:left w:val="nil"/>
          <w:bottom w:val="nil"/>
          <w:right w:val="nil"/>
          <w:between w:val="nil"/>
        </w:pBdr>
        <w:spacing w:line="259" w:lineRule="auto"/>
        <w:jc w:val="both"/>
        <w:rPr>
          <w:sz w:val="22"/>
          <w:szCs w:val="22"/>
        </w:rPr>
      </w:pPr>
    </w:p>
    <w:p w:rsidR="00743DA6" w:rsidRDefault="00D95D19">
      <w:pPr>
        <w:numPr>
          <w:ilvl w:val="0"/>
          <w:numId w:val="44"/>
        </w:numPr>
        <w:pBdr>
          <w:top w:val="nil"/>
          <w:left w:val="nil"/>
          <w:bottom w:val="nil"/>
          <w:right w:val="nil"/>
          <w:between w:val="nil"/>
        </w:pBdr>
        <w:spacing w:line="259" w:lineRule="auto"/>
        <w:jc w:val="both"/>
        <w:rPr>
          <w:sz w:val="22"/>
          <w:szCs w:val="22"/>
        </w:rPr>
      </w:pPr>
      <w:r>
        <w:rPr>
          <w:b/>
          <w:bCs/>
          <w:sz w:val="22"/>
          <w:szCs w:val="22"/>
        </w:rPr>
        <w:t>8142</w:t>
      </w:r>
      <w:r>
        <w:rPr>
          <w:sz w:val="22"/>
          <w:szCs w:val="22"/>
        </w:rPr>
        <w:t xml:space="preserve"> Mantenimiento de Equipamientos Culturales de la OFB</w:t>
      </w:r>
    </w:p>
    <w:p w:rsidR="00743DA6" w:rsidRDefault="00D95D19">
      <w:pPr>
        <w:numPr>
          <w:ilvl w:val="0"/>
          <w:numId w:val="21"/>
        </w:numPr>
        <w:pBdr>
          <w:top w:val="nil"/>
          <w:left w:val="nil"/>
          <w:bottom w:val="nil"/>
          <w:right w:val="nil"/>
          <w:between w:val="nil"/>
        </w:pBdr>
        <w:spacing w:line="259" w:lineRule="auto"/>
        <w:jc w:val="both"/>
        <w:rPr>
          <w:sz w:val="22"/>
          <w:szCs w:val="22"/>
        </w:rPr>
      </w:pPr>
      <w:r>
        <w:rPr>
          <w:sz w:val="22"/>
          <w:szCs w:val="22"/>
        </w:rPr>
        <w:t>2026: $259 millones (–$21 millones)</w:t>
      </w:r>
    </w:p>
    <w:p w:rsidR="00743DA6" w:rsidRDefault="00D95D19">
      <w:pPr>
        <w:spacing w:line="259" w:lineRule="auto"/>
        <w:jc w:val="both"/>
        <w:rPr>
          <w:sz w:val="22"/>
          <w:szCs w:val="22"/>
        </w:rPr>
      </w:pPr>
      <w:r>
        <w:rPr>
          <w:sz w:val="22"/>
          <w:szCs w:val="22"/>
        </w:rPr>
        <w:t>Entre las metas más afectadas por el recorte presupuestal están:</w:t>
      </w:r>
    </w:p>
    <w:p w:rsidR="00743DA6" w:rsidRDefault="00743DA6">
      <w:pPr>
        <w:pBdr>
          <w:top w:val="nil"/>
          <w:left w:val="nil"/>
          <w:bottom w:val="nil"/>
          <w:right w:val="nil"/>
          <w:between w:val="nil"/>
        </w:pBdr>
        <w:spacing w:line="259" w:lineRule="auto"/>
        <w:jc w:val="both"/>
        <w:rPr>
          <w:sz w:val="22"/>
          <w:szCs w:val="22"/>
        </w:rPr>
      </w:pPr>
    </w:p>
    <w:p w:rsidR="00743DA6" w:rsidRDefault="00D95D19">
      <w:pPr>
        <w:numPr>
          <w:ilvl w:val="0"/>
          <w:numId w:val="24"/>
        </w:numPr>
        <w:pBdr>
          <w:top w:val="nil"/>
          <w:left w:val="nil"/>
          <w:bottom w:val="nil"/>
          <w:right w:val="nil"/>
          <w:between w:val="nil"/>
        </w:pBdr>
        <w:spacing w:line="259" w:lineRule="auto"/>
        <w:jc w:val="both"/>
        <w:rPr>
          <w:sz w:val="22"/>
          <w:szCs w:val="22"/>
        </w:rPr>
      </w:pPr>
      <w:r>
        <w:rPr>
          <w:sz w:val="22"/>
          <w:szCs w:val="22"/>
        </w:rPr>
        <w:t>3500 actividades académicas y artísticas en equipamientos (–$0,16 millones)</w:t>
      </w:r>
    </w:p>
    <w:p w:rsidR="00743DA6" w:rsidRDefault="00D95D19">
      <w:pPr>
        <w:numPr>
          <w:ilvl w:val="0"/>
          <w:numId w:val="24"/>
        </w:numPr>
        <w:pBdr>
          <w:top w:val="nil"/>
          <w:left w:val="nil"/>
          <w:bottom w:val="nil"/>
          <w:right w:val="nil"/>
          <w:between w:val="nil"/>
        </w:pBdr>
        <w:spacing w:line="259" w:lineRule="auto"/>
        <w:jc w:val="both"/>
        <w:rPr>
          <w:sz w:val="22"/>
          <w:szCs w:val="22"/>
        </w:rPr>
      </w:pPr>
      <w:r>
        <w:rPr>
          <w:sz w:val="22"/>
          <w:szCs w:val="22"/>
        </w:rPr>
        <w:t>Acompañamiento a la obra de la nueva sede del Campín (–$3,13 millones),</w:t>
      </w:r>
    </w:p>
    <w:p w:rsidR="00743DA6" w:rsidRDefault="00D95D19">
      <w:pPr>
        <w:numPr>
          <w:ilvl w:val="0"/>
          <w:numId w:val="24"/>
        </w:numPr>
        <w:pBdr>
          <w:top w:val="nil"/>
          <w:left w:val="nil"/>
          <w:bottom w:val="nil"/>
          <w:right w:val="nil"/>
          <w:between w:val="nil"/>
        </w:pBdr>
        <w:spacing w:line="259" w:lineRule="auto"/>
        <w:jc w:val="both"/>
        <w:rPr>
          <w:sz w:val="22"/>
          <w:szCs w:val="22"/>
        </w:rPr>
      </w:pPr>
      <w:r>
        <w:rPr>
          <w:sz w:val="22"/>
          <w:szCs w:val="22"/>
        </w:rPr>
        <w:t>Mantenimiento de 2 equipamientos propios (–$17,9 millones).</w:t>
      </w:r>
    </w:p>
    <w:p w:rsidR="00743DA6" w:rsidRDefault="00743DA6">
      <w:pPr>
        <w:pBdr>
          <w:top w:val="nil"/>
          <w:left w:val="nil"/>
          <w:bottom w:val="nil"/>
          <w:right w:val="nil"/>
          <w:between w:val="nil"/>
        </w:pBdr>
        <w:spacing w:line="259" w:lineRule="auto"/>
        <w:jc w:val="both"/>
      </w:pPr>
    </w:p>
    <w:p w:rsidR="00743DA6" w:rsidRDefault="00D95D19">
      <w:pPr>
        <w:pBdr>
          <w:top w:val="nil"/>
          <w:left w:val="nil"/>
          <w:bottom w:val="nil"/>
          <w:right w:val="nil"/>
          <w:between w:val="nil"/>
        </w:pBdr>
        <w:spacing w:line="259" w:lineRule="auto"/>
        <w:jc w:val="both"/>
        <w:rPr>
          <w:sz w:val="22"/>
          <w:szCs w:val="22"/>
        </w:rPr>
      </w:pPr>
      <w:r>
        <w:rPr>
          <w:sz w:val="22"/>
          <w:szCs w:val="22"/>
        </w:rPr>
        <w:t>Desde una perspectiva de cultura como derecho y materialización de diversidad y poder popular, el presupuesto 2026 de la OFB muestra un sesgo hacia:</w:t>
      </w:r>
    </w:p>
    <w:p w:rsidR="00743DA6" w:rsidRDefault="00743DA6">
      <w:pPr>
        <w:pBdr>
          <w:top w:val="nil"/>
          <w:left w:val="nil"/>
          <w:bottom w:val="nil"/>
          <w:right w:val="nil"/>
          <w:between w:val="nil"/>
        </w:pBdr>
        <w:spacing w:line="259" w:lineRule="auto"/>
        <w:jc w:val="both"/>
        <w:rPr>
          <w:sz w:val="22"/>
          <w:szCs w:val="22"/>
        </w:rPr>
      </w:pPr>
    </w:p>
    <w:p w:rsidR="00743DA6" w:rsidRDefault="00D95D19">
      <w:pPr>
        <w:numPr>
          <w:ilvl w:val="0"/>
          <w:numId w:val="49"/>
        </w:numPr>
        <w:pBdr>
          <w:top w:val="nil"/>
          <w:left w:val="nil"/>
          <w:bottom w:val="nil"/>
          <w:right w:val="nil"/>
          <w:between w:val="nil"/>
        </w:pBdr>
        <w:spacing w:line="259" w:lineRule="auto"/>
        <w:jc w:val="both"/>
        <w:rPr>
          <w:sz w:val="22"/>
          <w:szCs w:val="22"/>
        </w:rPr>
      </w:pPr>
      <w:r>
        <w:rPr>
          <w:sz w:val="22"/>
          <w:szCs w:val="22"/>
        </w:rPr>
        <w:t>Sostener lo esencial de formación escolar,</w:t>
      </w:r>
    </w:p>
    <w:p w:rsidR="00743DA6" w:rsidRDefault="00D95D19">
      <w:pPr>
        <w:numPr>
          <w:ilvl w:val="0"/>
          <w:numId w:val="49"/>
        </w:numPr>
        <w:pBdr>
          <w:top w:val="nil"/>
          <w:left w:val="nil"/>
          <w:bottom w:val="nil"/>
          <w:right w:val="nil"/>
          <w:between w:val="nil"/>
        </w:pBdr>
        <w:spacing w:line="259" w:lineRule="auto"/>
        <w:jc w:val="both"/>
        <w:rPr>
          <w:sz w:val="22"/>
          <w:szCs w:val="22"/>
        </w:rPr>
      </w:pPr>
      <w:r>
        <w:rPr>
          <w:sz w:val="22"/>
          <w:szCs w:val="22"/>
        </w:rPr>
        <w:t>Reducir inversión en procesos comunitarios y territoriales,</w:t>
      </w:r>
    </w:p>
    <w:p w:rsidR="00743DA6" w:rsidRDefault="00D95D19">
      <w:pPr>
        <w:numPr>
          <w:ilvl w:val="0"/>
          <w:numId w:val="49"/>
        </w:numPr>
        <w:pBdr>
          <w:top w:val="nil"/>
          <w:left w:val="nil"/>
          <w:bottom w:val="nil"/>
          <w:right w:val="nil"/>
          <w:between w:val="nil"/>
        </w:pBdr>
        <w:spacing w:line="259" w:lineRule="auto"/>
        <w:jc w:val="both"/>
        <w:rPr>
          <w:sz w:val="22"/>
          <w:szCs w:val="22"/>
        </w:rPr>
      </w:pPr>
      <w:r>
        <w:rPr>
          <w:sz w:val="22"/>
          <w:szCs w:val="22"/>
        </w:rPr>
        <w:t>Fortalecer estímulos más orientados al sector profesional.</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Esto implica una menor redistribución territorial del acceso cultural y pone en riesgo la función social de la OFB como institución que articula música, educación y tejido comunitario.</w:t>
      </w:r>
    </w:p>
    <w:p w:rsidR="00743DA6" w:rsidRDefault="00743DA6">
      <w:pPr>
        <w:pBdr>
          <w:top w:val="nil"/>
          <w:left w:val="nil"/>
          <w:bottom w:val="nil"/>
          <w:right w:val="nil"/>
          <w:between w:val="nil"/>
        </w:pBdr>
        <w:spacing w:line="259" w:lineRule="auto"/>
        <w:jc w:val="both"/>
      </w:pPr>
    </w:p>
    <w:p w:rsidR="00743DA6" w:rsidRDefault="00D95D19">
      <w:pPr>
        <w:pBdr>
          <w:top w:val="nil"/>
          <w:left w:val="nil"/>
          <w:bottom w:val="nil"/>
          <w:right w:val="nil"/>
          <w:between w:val="nil"/>
        </w:pBdr>
        <w:spacing w:line="259" w:lineRule="auto"/>
        <w:rPr>
          <w:b/>
          <w:bCs/>
        </w:rPr>
      </w:pPr>
      <w:r>
        <w:rPr>
          <w:b/>
          <w:bCs/>
          <w:color w:val="000000"/>
          <w:sz w:val="22"/>
          <w:szCs w:val="22"/>
        </w:rPr>
        <w:t>Instituto Distrital del Patrimonio Cultural</w:t>
      </w:r>
    </w:p>
    <w:p w:rsidR="00743DA6" w:rsidRDefault="00D95D19">
      <w:pPr>
        <w:spacing w:before="240" w:after="240" w:line="259" w:lineRule="auto"/>
        <w:jc w:val="both"/>
        <w:rPr>
          <w:sz w:val="22"/>
          <w:szCs w:val="22"/>
        </w:rPr>
      </w:pPr>
      <w:r>
        <w:rPr>
          <w:sz w:val="22"/>
          <w:szCs w:val="22"/>
        </w:rPr>
        <w:t>El seguimiento a la trayectoria presupuestal del Instituto Distrital de Patrimonio Cultural entre 2022 y 2026 revela un conjunto de patrones que resulta indispensable examinar con detenimiento, especialmente en un momento en el que la entidad enfrenta simultáneamente un aumento de responsabilidades, una expansión regulatoria en materia de protección y gestión patrimonial y un escenario fiscal distrital altamente restrictivo. Las cifras muestran que el presupuesto de funcionamiento ha experimentado un crecimiento sostenido durante todo el período analizado, mientras que la inversión directa presenta oscilaciones más marcadas, con caídas abruptas en los compromisos ejecutados en la vigencia 2025. Este comportamiento combinado incide directamente en la capacidad del IDPC para mantener la operación institucional, cumplir metas del Plan de Desarrollo y avanzar en proyectos estratégicos con alto impacto territorial.</w:t>
      </w:r>
    </w:p>
    <w:p w:rsidR="00743DA6" w:rsidRDefault="00D95D19">
      <w:pPr>
        <w:spacing w:before="240" w:after="240" w:line="259" w:lineRule="auto"/>
        <w:jc w:val="both"/>
        <w:rPr>
          <w:sz w:val="22"/>
          <w:szCs w:val="22"/>
        </w:rPr>
      </w:pPr>
      <w:r>
        <w:rPr>
          <w:sz w:val="22"/>
          <w:szCs w:val="22"/>
        </w:rPr>
        <w:t>En el caso del funcionamiento, los montos iniciales pasan de $7,193 millones en 2022 a $18,218 millones para 2026, lo que indica un incremento acumulado que prácticamente triplica la apropiación del comienzo del cuatrienio. Sin embargo, el análisis fino sugiere que este crecimiento no debe interpretarse como una expansión real de la capacidad operativa. Una parte sustancial de este aumento responde a presiones inerciales asociadas a la actualización salarial, al encarecimiento de bienes y servicios institucionales, a la indexación obligatoria de contratos recurrentes y al ajuste de cargas administrativas que deben atenderse aún en contextos de austeridad. Dicho de otra manera, el crecimiento nominal no implica expansión programática: simplemente preserva la continuidad básica del servicio público, sin ampliar márgenes para fortalecer equipos, consolidar capacidades técnicas o mejorar infraestructura administrativa.</w:t>
      </w:r>
    </w:p>
    <w:p w:rsidR="00743DA6" w:rsidRDefault="00D95D19">
      <w:pPr>
        <w:spacing w:before="240" w:after="240" w:line="259" w:lineRule="auto"/>
        <w:jc w:val="both"/>
        <w:rPr>
          <w:sz w:val="22"/>
          <w:szCs w:val="22"/>
        </w:rPr>
      </w:pPr>
      <w:r>
        <w:rPr>
          <w:sz w:val="22"/>
          <w:szCs w:val="22"/>
        </w:rPr>
        <w:t>Los compromisos, por su parte, evidencian una reducción notable en 2025, cuando caen a $12,833 millones pese a contar con un presupuesto inicial superior a $17,162 millones. Esta brecha señala el surgimiento de una tensión interna: la planificación presupuestal avanza en una dirección, mientras que la ejecución real enfrenta barreras procedimentales, restricciones de oportunidad contractual y reacomodos de prioridades que ralentizan giros. En entidades como el IDPC, donde una parte significativa de la operación depende de servicios especializados, interventorías, procesos de restauración, manejo de colecciones, activaciones comunitarias y gestión territorial en zonas de especial protección, cualquier disminución en compromisos afecta ritmos misionales de inmediato.</w:t>
      </w:r>
    </w:p>
    <w:p w:rsidR="00743DA6" w:rsidRDefault="00D95D19">
      <w:pPr>
        <w:spacing w:before="240" w:after="240" w:line="259" w:lineRule="auto"/>
        <w:jc w:val="center"/>
        <w:rPr>
          <w:b/>
          <w:bCs/>
          <w:sz w:val="22"/>
          <w:szCs w:val="22"/>
        </w:rPr>
      </w:pPr>
      <w:r>
        <w:rPr>
          <w:b/>
          <w:bCs/>
          <w:sz w:val="22"/>
          <w:szCs w:val="22"/>
        </w:rPr>
        <w:t xml:space="preserve">Evolución del Presupuesto de Funcionamiento IDPC (2022 - 20026). </w:t>
      </w:r>
    </w:p>
    <w:p w:rsidR="00743DA6" w:rsidRDefault="00D95D19">
      <w:pPr>
        <w:pBdr>
          <w:top w:val="nil"/>
          <w:left w:val="nil"/>
          <w:bottom w:val="nil"/>
          <w:right w:val="nil"/>
          <w:between w:val="nil"/>
        </w:pBdr>
        <w:spacing w:line="259" w:lineRule="auto"/>
        <w:jc w:val="center"/>
        <w:rPr>
          <w:b/>
          <w:bCs/>
        </w:rPr>
      </w:pPr>
      <w:r>
        <w:rPr>
          <w:b/>
          <w:bCs/>
          <w:noProof/>
          <w:lang w:val="es-CO"/>
        </w:rPr>
        <w:drawing>
          <wp:inline distT="114300" distB="114300" distL="114300" distR="114300">
            <wp:extent cx="5457825" cy="2917280"/>
            <wp:effectExtent l="0" t="0" r="0" b="0"/>
            <wp:docPr id="2127399621"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0"/>
                    <a:srcRect/>
                    <a:stretch>
                      <a:fillRect/>
                    </a:stretch>
                  </pic:blipFill>
                  <pic:spPr>
                    <a:xfrm>
                      <a:off x="0" y="0"/>
                      <a:ext cx="5457825" cy="2917280"/>
                    </a:xfrm>
                    <a:prstGeom prst="rect">
                      <a:avLst/>
                    </a:prstGeom>
                    <a:ln/>
                  </pic:spPr>
                </pic:pic>
              </a:graphicData>
            </a:graphic>
          </wp:inline>
        </w:drawing>
      </w:r>
    </w:p>
    <w:p w:rsidR="00743DA6" w:rsidRDefault="00D95D19">
      <w:pPr>
        <w:spacing w:line="276" w:lineRule="auto"/>
        <w:jc w:val="center"/>
        <w:rPr>
          <w:sz w:val="18"/>
          <w:szCs w:val="18"/>
        </w:rPr>
      </w:pPr>
      <w:r>
        <w:rPr>
          <w:b/>
          <w:bCs/>
          <w:sz w:val="18"/>
          <w:szCs w:val="18"/>
        </w:rPr>
        <w:t>Fuente:</w:t>
      </w:r>
      <w:r>
        <w:rPr>
          <w:sz w:val="18"/>
          <w:szCs w:val="18"/>
        </w:rPr>
        <w:t xml:space="preserve"> Elaboración propia (2025) con base en la información suministrada de la SDH (2025)</w:t>
      </w:r>
    </w:p>
    <w:p w:rsidR="00743DA6" w:rsidRDefault="00D95D19">
      <w:pPr>
        <w:spacing w:before="240" w:after="240" w:line="259" w:lineRule="auto"/>
        <w:jc w:val="both"/>
        <w:rPr>
          <w:sz w:val="22"/>
          <w:szCs w:val="22"/>
        </w:rPr>
      </w:pPr>
      <w:r>
        <w:rPr>
          <w:sz w:val="22"/>
          <w:szCs w:val="22"/>
        </w:rPr>
        <w:t>Al pasar al bloque de inversión directa, la dinámica adquiere una complejidad mayor. Los registros muestran una caída pronunciada entre 2022 y 2023, seguida de una recuperación en 2024 y un nuevo descenso en los compromisos de octubre de 2025. El comportamiento agregado refleja un patrón de volatilidad que contrasta con la estabilidad deseable para una entidad cuyo mandato exige continuidad técnica en obras, restauraciones, procesos museográficos, adquisición de insumos especializados, puesta en marcha de intervenciones en Bienes de Interés Cultural y activación cultural en territorios.</w:t>
      </w:r>
    </w:p>
    <w:p w:rsidR="00743DA6" w:rsidRDefault="00D95D19">
      <w:pPr>
        <w:spacing w:before="240" w:after="240" w:line="259" w:lineRule="auto"/>
        <w:jc w:val="both"/>
        <w:rPr>
          <w:sz w:val="22"/>
          <w:szCs w:val="22"/>
        </w:rPr>
      </w:pPr>
      <w:r>
        <w:rPr>
          <w:sz w:val="22"/>
          <w:szCs w:val="22"/>
        </w:rPr>
        <w:t>Más allá de la variación anual, la tensión central radica en la divergencia entre presupuesto asignado y compromisos ejecutados. En 2025, mientras la apropiación alcanza $30,378 millones, los compromisos apenas llegan a $21,438 millones. Esta diferencia no debe leerse simplemente como un retraso técnico: implica que parte de las metas en curso, incluidas intervenciones en BIC, renovación de equipamientos museográficos, sostenibilidad de proyectos comunitarios y continuidad de programas estratégicos vinculados a preservación patrimonial, quedan expuestas a riesgos de discontinuidad o subejecución al cierre del año fiscal. Para 2026, el proyecto de presupuesto asciende a $29,141 millones, cifra significativa que, no obstante, debe interpretarse a la luz del rezago acumulado.</w:t>
      </w:r>
    </w:p>
    <w:p w:rsidR="00743DA6" w:rsidRDefault="00D95D19">
      <w:pPr>
        <w:pBdr>
          <w:top w:val="nil"/>
          <w:left w:val="nil"/>
          <w:bottom w:val="nil"/>
          <w:right w:val="nil"/>
          <w:between w:val="nil"/>
        </w:pBdr>
        <w:spacing w:line="259" w:lineRule="auto"/>
        <w:jc w:val="center"/>
        <w:rPr>
          <w:b/>
          <w:bCs/>
          <w:sz w:val="22"/>
          <w:szCs w:val="22"/>
        </w:rPr>
      </w:pPr>
      <w:r>
        <w:rPr>
          <w:b/>
          <w:bCs/>
          <w:sz w:val="22"/>
          <w:szCs w:val="22"/>
        </w:rPr>
        <w:t xml:space="preserve">Evolución de la Inversión Directa IDPC (2022 - 2026). </w:t>
      </w:r>
    </w:p>
    <w:p w:rsidR="00743DA6" w:rsidRDefault="00D95D19">
      <w:pPr>
        <w:pBdr>
          <w:top w:val="nil"/>
          <w:left w:val="nil"/>
          <w:bottom w:val="nil"/>
          <w:right w:val="nil"/>
          <w:between w:val="nil"/>
        </w:pBdr>
        <w:spacing w:line="259" w:lineRule="auto"/>
        <w:jc w:val="center"/>
        <w:rPr>
          <w:b/>
          <w:bCs/>
        </w:rPr>
      </w:pPr>
      <w:r>
        <w:rPr>
          <w:b/>
          <w:bCs/>
          <w:noProof/>
          <w:lang w:val="es-CO"/>
        </w:rPr>
        <w:drawing>
          <wp:inline distT="114300" distB="114300" distL="114300" distR="114300">
            <wp:extent cx="5570046" cy="3012668"/>
            <wp:effectExtent l="0" t="0" r="0" b="0"/>
            <wp:docPr id="212739958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1"/>
                    <a:srcRect/>
                    <a:stretch>
                      <a:fillRect/>
                    </a:stretch>
                  </pic:blipFill>
                  <pic:spPr>
                    <a:xfrm>
                      <a:off x="0" y="0"/>
                      <a:ext cx="5570046" cy="3012668"/>
                    </a:xfrm>
                    <a:prstGeom prst="rect">
                      <a:avLst/>
                    </a:prstGeom>
                    <a:ln/>
                  </pic:spPr>
                </pic:pic>
              </a:graphicData>
            </a:graphic>
          </wp:inline>
        </w:drawing>
      </w:r>
    </w:p>
    <w:p w:rsidR="00743DA6" w:rsidRDefault="00D95D19">
      <w:pPr>
        <w:spacing w:line="276" w:lineRule="auto"/>
        <w:jc w:val="center"/>
        <w:rPr>
          <w:b/>
          <w:bCs/>
          <w:sz w:val="18"/>
          <w:szCs w:val="18"/>
        </w:rPr>
      </w:pPr>
      <w:r>
        <w:rPr>
          <w:b/>
          <w:bCs/>
          <w:sz w:val="18"/>
          <w:szCs w:val="18"/>
        </w:rPr>
        <w:t>Fuente:</w:t>
      </w:r>
      <w:r>
        <w:rPr>
          <w:sz w:val="18"/>
          <w:szCs w:val="18"/>
        </w:rPr>
        <w:t xml:space="preserve"> Elaboración propia (2025) con base en la información suministrada de la SDH (2025)</w:t>
      </w:r>
    </w:p>
    <w:p w:rsidR="00743DA6" w:rsidRDefault="00D95D19">
      <w:pPr>
        <w:spacing w:before="240" w:after="240" w:line="259" w:lineRule="auto"/>
        <w:jc w:val="both"/>
        <w:rPr>
          <w:sz w:val="22"/>
          <w:szCs w:val="22"/>
        </w:rPr>
      </w:pPr>
      <w:r>
        <w:rPr>
          <w:sz w:val="22"/>
          <w:szCs w:val="22"/>
        </w:rPr>
        <w:t>Con base en estas tendencias, el análisis estructural muestra tres implicaciones que orientan la discusión presupuestal: primero, la brecha entre crecimiento nominal y capacidad de ejecución obliga a revisar la suficiencia operativa del Instituto; segundo, la volatilidad en inversión compromete la planeación multianual de proyectos, especialmente aquellos que requieren continuidad técnica, contractual y financiera; tercero, la reducción en compromisos durante 2025 introduce un cuello de botella que el IDPC no puede resolver únicamente con reasignación interna, pues se trata de proyectos que involucran restauración, conservación, investigaciones aplicadas, activación patrimonial y procesos comunitarios que no admiten interrupciones sin afectar su calidad y oportunidad.</w:t>
      </w:r>
    </w:p>
    <w:p w:rsidR="00743DA6" w:rsidRDefault="00D95D19">
      <w:pPr>
        <w:spacing w:before="240" w:after="240" w:line="276" w:lineRule="auto"/>
        <w:jc w:val="center"/>
        <w:rPr>
          <w:sz w:val="18"/>
          <w:szCs w:val="18"/>
        </w:rPr>
      </w:pPr>
      <w:r>
        <w:rPr>
          <w:b/>
          <w:bCs/>
          <w:sz w:val="22"/>
          <w:szCs w:val="22"/>
        </w:rPr>
        <w:t xml:space="preserve">Tabla No. 28. Programación Presupuestal Comparada del IDPC: Vigencia 2025 y Proyecto de Presupuesto 2026. </w:t>
      </w:r>
    </w:p>
    <w:tbl>
      <w:tblPr>
        <w:tblStyle w:val="affffff8"/>
        <w:tblW w:w="8835" w:type="dxa"/>
        <w:tblBorders>
          <w:top w:val="nil"/>
          <w:left w:val="nil"/>
          <w:bottom w:val="nil"/>
          <w:right w:val="nil"/>
          <w:insideH w:val="nil"/>
          <w:insideV w:val="nil"/>
        </w:tblBorders>
        <w:tblLayout w:type="fixed"/>
        <w:tblLook w:val="0600" w:firstRow="0" w:lastRow="0" w:firstColumn="0" w:lastColumn="0" w:noHBand="1" w:noVBand="1"/>
      </w:tblPr>
      <w:tblGrid>
        <w:gridCol w:w="2175"/>
        <w:gridCol w:w="1260"/>
        <w:gridCol w:w="1590"/>
        <w:gridCol w:w="1365"/>
        <w:gridCol w:w="1185"/>
        <w:gridCol w:w="1260"/>
      </w:tblGrid>
      <w:tr w:rsidR="00743DA6">
        <w:trPr>
          <w:trHeight w:val="755"/>
        </w:trPr>
        <w:tc>
          <w:tcPr>
            <w:tcW w:w="217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both"/>
              <w:rPr>
                <w:rFonts w:ascii="Arial" w:eastAsia="Arial" w:hAnsi="Arial" w:cs="Arial"/>
                <w:sz w:val="18"/>
                <w:szCs w:val="18"/>
              </w:rPr>
            </w:pPr>
            <w:r>
              <w:rPr>
                <w:rFonts w:ascii="Arial" w:eastAsia="Arial" w:hAnsi="Arial" w:cs="Arial"/>
                <w:b/>
                <w:bCs/>
                <w:sz w:val="18"/>
                <w:szCs w:val="18"/>
              </w:rPr>
              <w:t xml:space="preserve"> PROYECTO DE INVERSIÓN </w:t>
            </w:r>
          </w:p>
        </w:tc>
        <w:tc>
          <w:tcPr>
            <w:tcW w:w="126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center"/>
              <w:rPr>
                <w:rFonts w:ascii="Arial" w:eastAsia="Arial" w:hAnsi="Arial" w:cs="Arial"/>
                <w:sz w:val="18"/>
                <w:szCs w:val="18"/>
              </w:rPr>
            </w:pPr>
            <w:r>
              <w:rPr>
                <w:rFonts w:ascii="Arial" w:eastAsia="Arial" w:hAnsi="Arial" w:cs="Arial"/>
                <w:b/>
                <w:bCs/>
                <w:sz w:val="18"/>
                <w:szCs w:val="18"/>
              </w:rPr>
              <w:t xml:space="preserve"> Suma de 2025 PROG </w:t>
            </w:r>
          </w:p>
        </w:tc>
        <w:tc>
          <w:tcPr>
            <w:tcW w:w="159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center"/>
              <w:rPr>
                <w:rFonts w:ascii="Arial" w:eastAsia="Arial" w:hAnsi="Arial" w:cs="Arial"/>
                <w:sz w:val="18"/>
                <w:szCs w:val="18"/>
              </w:rPr>
            </w:pPr>
            <w:r>
              <w:rPr>
                <w:rFonts w:ascii="Arial" w:eastAsia="Arial" w:hAnsi="Arial" w:cs="Arial"/>
                <w:b/>
                <w:bCs/>
                <w:sz w:val="18"/>
                <w:szCs w:val="18"/>
              </w:rPr>
              <w:t>Suma de 2025 COMPROMISOS</w:t>
            </w:r>
          </w:p>
        </w:tc>
        <w:tc>
          <w:tcPr>
            <w:tcW w:w="13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center"/>
              <w:rPr>
                <w:rFonts w:ascii="Arial" w:eastAsia="Arial" w:hAnsi="Arial" w:cs="Arial"/>
                <w:sz w:val="18"/>
                <w:szCs w:val="18"/>
              </w:rPr>
            </w:pPr>
            <w:r>
              <w:rPr>
                <w:rFonts w:ascii="Arial" w:eastAsia="Arial" w:hAnsi="Arial" w:cs="Arial"/>
                <w:b/>
                <w:bCs/>
                <w:sz w:val="18"/>
                <w:szCs w:val="18"/>
              </w:rPr>
              <w:t>Suma de 2025 GIROS</w:t>
            </w:r>
          </w:p>
        </w:tc>
        <w:tc>
          <w:tcPr>
            <w:tcW w:w="118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center"/>
              <w:rPr>
                <w:rFonts w:ascii="Arial" w:eastAsia="Arial" w:hAnsi="Arial" w:cs="Arial"/>
                <w:sz w:val="18"/>
                <w:szCs w:val="18"/>
              </w:rPr>
            </w:pPr>
            <w:r>
              <w:rPr>
                <w:rFonts w:ascii="Arial" w:eastAsia="Arial" w:hAnsi="Arial" w:cs="Arial"/>
                <w:b/>
                <w:bCs/>
                <w:sz w:val="18"/>
                <w:szCs w:val="18"/>
              </w:rPr>
              <w:t xml:space="preserve"> Suma de 2026 PROG </w:t>
            </w:r>
          </w:p>
        </w:tc>
        <w:tc>
          <w:tcPr>
            <w:tcW w:w="126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center"/>
              <w:rPr>
                <w:rFonts w:ascii="Arial" w:eastAsia="Arial" w:hAnsi="Arial" w:cs="Arial"/>
                <w:sz w:val="18"/>
                <w:szCs w:val="18"/>
              </w:rPr>
            </w:pPr>
            <w:r>
              <w:rPr>
                <w:rFonts w:ascii="Arial" w:eastAsia="Arial" w:hAnsi="Arial" w:cs="Arial"/>
                <w:b/>
                <w:bCs/>
                <w:sz w:val="18"/>
                <w:szCs w:val="18"/>
              </w:rPr>
              <w:t xml:space="preserve"> Suma de Diferencia PROG </w:t>
            </w:r>
          </w:p>
        </w:tc>
      </w:tr>
      <w:tr w:rsidR="00743DA6">
        <w:trPr>
          <w:trHeight w:val="455"/>
        </w:trPr>
        <w:tc>
          <w:tcPr>
            <w:tcW w:w="21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both"/>
              <w:rPr>
                <w:rFonts w:ascii="Arial" w:eastAsia="Arial" w:hAnsi="Arial" w:cs="Arial"/>
                <w:sz w:val="18"/>
                <w:szCs w:val="18"/>
              </w:rPr>
            </w:pPr>
            <w:r>
              <w:rPr>
                <w:rFonts w:ascii="Arial" w:eastAsia="Arial" w:hAnsi="Arial" w:cs="Arial"/>
                <w:b/>
                <w:bCs/>
                <w:sz w:val="18"/>
                <w:szCs w:val="18"/>
              </w:rPr>
              <w:t>Consolidación de estrategias y mecanismos que aporten al reconocimiento, divulgación y apropiación de los patrimonios a nivel territorial y poblacional en Bogotá D.C.</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$6881.71</w:t>
            </w:r>
          </w:p>
        </w:tc>
        <w:tc>
          <w:tcPr>
            <w:tcW w:w="15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$5080.88</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$3350.41</w:t>
            </w:r>
          </w:p>
        </w:tc>
        <w:tc>
          <w:tcPr>
            <w:tcW w:w="11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$5376.63</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$-1505.09</w:t>
            </w:r>
          </w:p>
        </w:tc>
      </w:tr>
      <w:tr w:rsidR="00743DA6">
        <w:trPr>
          <w:trHeight w:val="455"/>
        </w:trPr>
        <w:tc>
          <w:tcPr>
            <w:tcW w:w="21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both"/>
              <w:rPr>
                <w:rFonts w:ascii="Arial" w:eastAsia="Arial" w:hAnsi="Arial" w:cs="Arial"/>
                <w:sz w:val="18"/>
                <w:szCs w:val="18"/>
              </w:rPr>
            </w:pPr>
            <w:r>
              <w:rPr>
                <w:rFonts w:ascii="Arial" w:eastAsia="Arial" w:hAnsi="Arial" w:cs="Arial"/>
                <w:b/>
                <w:bCs/>
                <w:sz w:val="18"/>
                <w:szCs w:val="18"/>
              </w:rPr>
              <w:t>Desarrollo acciones de intervención para la protección y conservación de los valores del paisaje histórico, urbano y rural de los espacios patrimoniales de Bogotá D.C.</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$6423.14</w:t>
            </w:r>
          </w:p>
        </w:tc>
        <w:tc>
          <w:tcPr>
            <w:tcW w:w="15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$2416.95</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$1423.76</w:t>
            </w:r>
          </w:p>
        </w:tc>
        <w:tc>
          <w:tcPr>
            <w:tcW w:w="11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$8659.91</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$2236.76</w:t>
            </w:r>
          </w:p>
        </w:tc>
      </w:tr>
      <w:tr w:rsidR="00743DA6">
        <w:trPr>
          <w:trHeight w:val="455"/>
        </w:trPr>
        <w:tc>
          <w:tcPr>
            <w:tcW w:w="21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both"/>
              <w:rPr>
                <w:rFonts w:ascii="Arial" w:eastAsia="Arial" w:hAnsi="Arial" w:cs="Arial"/>
                <w:sz w:val="18"/>
                <w:szCs w:val="18"/>
              </w:rPr>
            </w:pPr>
            <w:r>
              <w:rPr>
                <w:rFonts w:ascii="Arial" w:eastAsia="Arial" w:hAnsi="Arial" w:cs="Arial"/>
                <w:b/>
                <w:bCs/>
                <w:sz w:val="18"/>
                <w:szCs w:val="18"/>
              </w:rPr>
              <w:t>Desarrollo de acciones para la gestión del patrimonio arqueológico de Bogotá D.C.</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$2048.16</w:t>
            </w:r>
          </w:p>
        </w:tc>
        <w:tc>
          <w:tcPr>
            <w:tcW w:w="15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$1611.61</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$1050.94</w:t>
            </w:r>
          </w:p>
        </w:tc>
        <w:tc>
          <w:tcPr>
            <w:tcW w:w="11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$952.00</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$-1096.16</w:t>
            </w:r>
          </w:p>
        </w:tc>
      </w:tr>
      <w:tr w:rsidR="00743DA6">
        <w:trPr>
          <w:trHeight w:val="455"/>
        </w:trPr>
        <w:tc>
          <w:tcPr>
            <w:tcW w:w="21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both"/>
              <w:rPr>
                <w:rFonts w:ascii="Arial" w:eastAsia="Arial" w:hAnsi="Arial" w:cs="Arial"/>
                <w:sz w:val="18"/>
                <w:szCs w:val="18"/>
              </w:rPr>
            </w:pPr>
            <w:r>
              <w:rPr>
                <w:rFonts w:ascii="Arial" w:eastAsia="Arial" w:hAnsi="Arial" w:cs="Arial"/>
                <w:b/>
                <w:bCs/>
                <w:sz w:val="18"/>
                <w:szCs w:val="18"/>
              </w:rPr>
              <w:t>Desarrollo de instrumentos de planeación y gestión territorial asociados a los patrimonios de Bogotá D.C.</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$1759.74</w:t>
            </w:r>
          </w:p>
        </w:tc>
        <w:tc>
          <w:tcPr>
            <w:tcW w:w="15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$1605.75</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$1111.65</w:t>
            </w:r>
          </w:p>
        </w:tc>
        <w:tc>
          <w:tcPr>
            <w:tcW w:w="11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$2894.02</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$1134.28</w:t>
            </w:r>
          </w:p>
        </w:tc>
      </w:tr>
      <w:tr w:rsidR="00743DA6">
        <w:trPr>
          <w:trHeight w:val="455"/>
        </w:trPr>
        <w:tc>
          <w:tcPr>
            <w:tcW w:w="21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both"/>
              <w:rPr>
                <w:rFonts w:ascii="Arial" w:eastAsia="Arial" w:hAnsi="Arial" w:cs="Arial"/>
                <w:sz w:val="18"/>
                <w:szCs w:val="18"/>
              </w:rPr>
            </w:pPr>
            <w:r>
              <w:rPr>
                <w:rFonts w:ascii="Arial" w:eastAsia="Arial" w:hAnsi="Arial" w:cs="Arial"/>
                <w:b/>
                <w:bCs/>
                <w:sz w:val="18"/>
                <w:szCs w:val="18"/>
              </w:rPr>
              <w:t>Desarrollo de procesos de valoración, identificación, documentación y registro de prácticas y manifestaciones del patrimonio vivo en Bogotá D.C.</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$683.88</w:t>
            </w:r>
          </w:p>
        </w:tc>
        <w:tc>
          <w:tcPr>
            <w:tcW w:w="15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$461.46</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$229.29</w:t>
            </w:r>
          </w:p>
        </w:tc>
        <w:tc>
          <w:tcPr>
            <w:tcW w:w="11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$133.00</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$-550.88</w:t>
            </w:r>
          </w:p>
        </w:tc>
      </w:tr>
      <w:tr w:rsidR="00743DA6">
        <w:trPr>
          <w:trHeight w:val="455"/>
        </w:trPr>
        <w:tc>
          <w:tcPr>
            <w:tcW w:w="21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both"/>
              <w:rPr>
                <w:rFonts w:ascii="Arial" w:eastAsia="Arial" w:hAnsi="Arial" w:cs="Arial"/>
                <w:sz w:val="18"/>
                <w:szCs w:val="18"/>
              </w:rPr>
            </w:pPr>
            <w:r>
              <w:rPr>
                <w:rFonts w:ascii="Arial" w:eastAsia="Arial" w:hAnsi="Arial" w:cs="Arial"/>
                <w:b/>
                <w:bCs/>
                <w:sz w:val="18"/>
                <w:szCs w:val="18"/>
              </w:rPr>
              <w:t>Desarrollo de procesos pedagógicos en patrimonio cultural con niños, niñas, adolescentes, jóvenes y otros actores en Bogotá D.C.</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$699.36</w:t>
            </w:r>
          </w:p>
        </w:tc>
        <w:tc>
          <w:tcPr>
            <w:tcW w:w="15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$616.54</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$364.99</w:t>
            </w:r>
          </w:p>
        </w:tc>
        <w:tc>
          <w:tcPr>
            <w:tcW w:w="11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$452.50</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$-246.86</w:t>
            </w:r>
          </w:p>
        </w:tc>
      </w:tr>
      <w:tr w:rsidR="00743DA6">
        <w:trPr>
          <w:trHeight w:val="455"/>
        </w:trPr>
        <w:tc>
          <w:tcPr>
            <w:tcW w:w="21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both"/>
              <w:rPr>
                <w:rFonts w:ascii="Arial" w:eastAsia="Arial" w:hAnsi="Arial" w:cs="Arial"/>
                <w:sz w:val="18"/>
                <w:szCs w:val="18"/>
              </w:rPr>
            </w:pPr>
            <w:r>
              <w:rPr>
                <w:rFonts w:ascii="Arial" w:eastAsia="Arial" w:hAnsi="Arial" w:cs="Arial"/>
                <w:b/>
                <w:bCs/>
                <w:sz w:val="18"/>
                <w:szCs w:val="18"/>
              </w:rPr>
              <w:t>Fortalecimiento de la eficiencia administrativa del Instituto Distrital de Patrimonio Cultural de Bogotá D.C.</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$8232.07</w:t>
            </w:r>
          </w:p>
        </w:tc>
        <w:tc>
          <w:tcPr>
            <w:tcW w:w="15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$6116.41</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$4242.59</w:t>
            </w:r>
          </w:p>
        </w:tc>
        <w:tc>
          <w:tcPr>
            <w:tcW w:w="11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$7466.25</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$-765.82</w:t>
            </w:r>
          </w:p>
        </w:tc>
      </w:tr>
      <w:tr w:rsidR="00743DA6">
        <w:trPr>
          <w:trHeight w:val="455"/>
        </w:trPr>
        <w:tc>
          <w:tcPr>
            <w:tcW w:w="21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both"/>
              <w:rPr>
                <w:rFonts w:ascii="Arial" w:eastAsia="Arial" w:hAnsi="Arial" w:cs="Arial"/>
                <w:sz w:val="18"/>
                <w:szCs w:val="18"/>
              </w:rPr>
            </w:pPr>
            <w:r>
              <w:rPr>
                <w:rFonts w:ascii="Arial" w:eastAsia="Arial" w:hAnsi="Arial" w:cs="Arial"/>
                <w:b/>
                <w:bCs/>
                <w:sz w:val="18"/>
                <w:szCs w:val="18"/>
              </w:rPr>
              <w:t>Implementación de procesos de valoración para el inventario del patrimonio cultural material en Bogotá D.C.</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$500.28</w:t>
            </w:r>
          </w:p>
        </w:tc>
        <w:tc>
          <w:tcPr>
            <w:tcW w:w="15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$105.71</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$93.38</w:t>
            </w:r>
          </w:p>
        </w:tc>
        <w:tc>
          <w:tcPr>
            <w:tcW w:w="11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$500.00</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$-0.28</w:t>
            </w:r>
          </w:p>
        </w:tc>
      </w:tr>
      <w:tr w:rsidR="00743DA6">
        <w:trPr>
          <w:trHeight w:val="455"/>
        </w:trPr>
        <w:tc>
          <w:tcPr>
            <w:tcW w:w="217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both"/>
              <w:rPr>
                <w:rFonts w:ascii="Arial" w:eastAsia="Arial" w:hAnsi="Arial" w:cs="Arial"/>
                <w:sz w:val="18"/>
                <w:szCs w:val="18"/>
              </w:rPr>
            </w:pPr>
            <w:r>
              <w:rPr>
                <w:rFonts w:ascii="Arial" w:eastAsia="Arial" w:hAnsi="Arial" w:cs="Arial"/>
                <w:b/>
                <w:bCs/>
                <w:sz w:val="18"/>
                <w:szCs w:val="18"/>
              </w:rPr>
              <w:t>Mejoramiento de la capacidad institucional para la atención de trámites y servicios orientados a la intervención, protección y conservación del patrimonio cultural material de Bogotá D.C.</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$4399.81</w:t>
            </w:r>
          </w:p>
        </w:tc>
        <w:tc>
          <w:tcPr>
            <w:tcW w:w="159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$3378.61</w:t>
            </w:r>
          </w:p>
        </w:tc>
        <w:tc>
          <w:tcPr>
            <w:tcW w:w="136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$1791.61</w:t>
            </w:r>
          </w:p>
        </w:tc>
        <w:tc>
          <w:tcPr>
            <w:tcW w:w="1185"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$2706.75</w:t>
            </w:r>
          </w:p>
        </w:tc>
        <w:tc>
          <w:tcPr>
            <w:tcW w:w="1260"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$-1693.06</w:t>
            </w:r>
          </w:p>
        </w:tc>
      </w:tr>
      <w:tr w:rsidR="00743DA6">
        <w:trPr>
          <w:trHeight w:val="455"/>
        </w:trPr>
        <w:tc>
          <w:tcPr>
            <w:tcW w:w="217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both"/>
              <w:rPr>
                <w:rFonts w:ascii="Arial" w:eastAsia="Arial" w:hAnsi="Arial" w:cs="Arial"/>
                <w:sz w:val="18"/>
                <w:szCs w:val="18"/>
              </w:rPr>
            </w:pPr>
            <w:r>
              <w:rPr>
                <w:rFonts w:ascii="Arial" w:eastAsia="Arial" w:hAnsi="Arial" w:cs="Arial"/>
                <w:b/>
                <w:bCs/>
                <w:sz w:val="18"/>
                <w:szCs w:val="18"/>
              </w:rPr>
              <w:t>Total general</w:t>
            </w:r>
          </w:p>
        </w:tc>
        <w:tc>
          <w:tcPr>
            <w:tcW w:w="126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$31628.15</w:t>
            </w:r>
          </w:p>
        </w:tc>
        <w:tc>
          <w:tcPr>
            <w:tcW w:w="159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$21393.93</w:t>
            </w:r>
          </w:p>
        </w:tc>
        <w:tc>
          <w:tcPr>
            <w:tcW w:w="13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$13658.62</w:t>
            </w:r>
          </w:p>
        </w:tc>
        <w:tc>
          <w:tcPr>
            <w:tcW w:w="118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$29141.05</w:t>
            </w:r>
          </w:p>
        </w:tc>
        <w:tc>
          <w:tcPr>
            <w:tcW w:w="126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line="259" w:lineRule="auto"/>
              <w:jc w:val="right"/>
              <w:rPr>
                <w:rFonts w:ascii="Arial" w:eastAsia="Arial" w:hAnsi="Arial" w:cs="Arial"/>
                <w:sz w:val="18"/>
                <w:szCs w:val="18"/>
              </w:rPr>
            </w:pPr>
            <w:r>
              <w:rPr>
                <w:rFonts w:ascii="Arial" w:eastAsia="Arial" w:hAnsi="Arial" w:cs="Arial"/>
                <w:sz w:val="18"/>
                <w:szCs w:val="18"/>
              </w:rPr>
              <w:t>$-2487.10</w:t>
            </w:r>
          </w:p>
        </w:tc>
      </w:tr>
    </w:tbl>
    <w:p w:rsidR="00743DA6" w:rsidRDefault="00D95D19">
      <w:pPr>
        <w:spacing w:line="276" w:lineRule="auto"/>
        <w:jc w:val="center"/>
        <w:rPr>
          <w:sz w:val="18"/>
          <w:szCs w:val="18"/>
        </w:rPr>
      </w:pPr>
      <w:r>
        <w:rPr>
          <w:b/>
          <w:bCs/>
          <w:sz w:val="18"/>
          <w:szCs w:val="18"/>
        </w:rPr>
        <w:t>Fuente:</w:t>
      </w:r>
      <w:r>
        <w:rPr>
          <w:sz w:val="18"/>
          <w:szCs w:val="18"/>
        </w:rPr>
        <w:t xml:space="preserve"> Elaboración propia (2025) con base en la información suministrada de la SDH (2025)</w:t>
      </w:r>
      <w:r>
        <w:rPr>
          <w:b/>
          <w:bCs/>
          <w:sz w:val="18"/>
          <w:szCs w:val="18"/>
        </w:rPr>
        <w:t xml:space="preserve">. </w:t>
      </w:r>
    </w:p>
    <w:p w:rsidR="00743DA6" w:rsidRDefault="00D95D19">
      <w:pPr>
        <w:spacing w:before="240" w:after="240" w:line="259" w:lineRule="auto"/>
        <w:jc w:val="both"/>
        <w:rPr>
          <w:sz w:val="22"/>
          <w:szCs w:val="22"/>
        </w:rPr>
      </w:pPr>
      <w:r>
        <w:rPr>
          <w:sz w:val="22"/>
          <w:szCs w:val="22"/>
        </w:rPr>
        <w:t>El examen del comportamiento reciente de los proyectos de inversión del Instituto Distrital de Patrimonio Cultural muestra una tendencia que merece atención: mientras las funciones misionales del Instituto se amplían y se complejizan territorialmente, la disponibilidad presupuestal para 2026 registra una disminución que contrasta con las demandas técnicas acumuladas. A pesar de que en 2025 la programación alcanzó $31.628 millones, la proyección para 2026 se reduce a $29.141 millones, lo que supone un retroceso neto de $2.487 millones en un entorno operativo que no admite pausas ni fragmentaciones metodológicas.</w:t>
      </w:r>
    </w:p>
    <w:p w:rsidR="00743DA6" w:rsidRDefault="00D95D19">
      <w:pPr>
        <w:spacing w:before="240" w:after="240" w:line="259" w:lineRule="auto"/>
        <w:jc w:val="both"/>
        <w:rPr>
          <w:sz w:val="22"/>
          <w:szCs w:val="22"/>
        </w:rPr>
      </w:pPr>
      <w:r>
        <w:rPr>
          <w:sz w:val="22"/>
          <w:szCs w:val="22"/>
        </w:rPr>
        <w:t>Conviene observar este comportamiento a la luz de la ejecución. Las cifras de 2025 evidencian que, en varios proyectos, los compromisos superan de manera significativa los giros efectivamente realizados. Lejos de reflejar fallas administrativas, este patrón traduce la presión que enfrenta el IDPC para adelantar procesos especializados, investigación territorial, acciones de salvaguardia, trámites técnicos, articulación comunitaria y producción de insumos normativos, con una capacidad instalada que funciona al límite. Las líneas de patrimonio arqueológico y patrimonio vivo son particularmente ilustrativas: comprometen montos superiores a los girados, lo que indica una demanda que supera la disponibilidad inmediata de recursos y que requeriría, por el contrario, un fortalecimiento presupuestal sostenido.</w:t>
      </w:r>
    </w:p>
    <w:p w:rsidR="00743DA6" w:rsidRDefault="00D95D19">
      <w:pPr>
        <w:spacing w:before="240" w:after="240" w:line="259" w:lineRule="auto"/>
        <w:jc w:val="both"/>
        <w:rPr>
          <w:sz w:val="22"/>
          <w:szCs w:val="22"/>
        </w:rPr>
      </w:pPr>
      <w:r>
        <w:rPr>
          <w:sz w:val="22"/>
          <w:szCs w:val="22"/>
        </w:rPr>
        <w:t xml:space="preserve">Si se revisa la variación 2025–2026, emergen dos tendencias consistentes. En primer lugar, varios proyectos estratégicos registran recortes o estancamientos, aun cuando su naturaleza exige continuidad metodológica y presencia territorial mantenida. En segundo lugar, los incrementos observados en otras líneas no compensan las reducciones globales, pues parten de niveles históricamente bajos que ya limitaban su alcance operativo. </w:t>
      </w:r>
    </w:p>
    <w:p w:rsidR="00743DA6" w:rsidRDefault="00D95D19">
      <w:pPr>
        <w:spacing w:before="240" w:after="240" w:line="259" w:lineRule="auto"/>
        <w:jc w:val="both"/>
        <w:rPr>
          <w:sz w:val="22"/>
          <w:szCs w:val="22"/>
        </w:rPr>
      </w:pPr>
      <w:r>
        <w:rPr>
          <w:sz w:val="22"/>
          <w:szCs w:val="22"/>
        </w:rPr>
        <w:t>Al profundizar en cada línea, aparecen vacíos que no pueden ser ignorados. La reducción de más de $1.096 millones en patrimonio arqueológico pone en riesgo acciones esenciales del Plan de Manejo Arqueológico del Área Protegida Hacienda El Carmen, cuyo cumplimiento depende de licencias, diseños, adecuaciones y procesos comunitarios que no pueden segmentarse sin afectar la integridad técnica del área protegida. El proyecto de patrimonio vivo enfrenta una disminución de $551 millones pese a que, entre 2024 y 2025, consolidó laboratorios de memoria, activaciones patrimoniales y ejercicios de investigación participativa en plazas de mercado que requieren continuidad para no perder el acumulado metodológico logrado. Algo similar ocurre con la línea de patrimonio natural: aunque presenta un incremento respecto a 2025, el nivel alcanzado sigue siendo insuficiente frente al reto de producir instrumentos técnicos para la identificación de caminos patrimoniales, la caracterización de elementos naturales y la incorporación del patrimonio natural en la Estructura Integradora de Patrimonios.</w:t>
      </w:r>
    </w:p>
    <w:p w:rsidR="00743DA6" w:rsidRDefault="00D95D19">
      <w:pPr>
        <w:spacing w:before="240" w:after="240" w:line="259" w:lineRule="auto"/>
        <w:jc w:val="both"/>
        <w:rPr>
          <w:sz w:val="22"/>
          <w:szCs w:val="22"/>
        </w:rPr>
      </w:pPr>
      <w:r>
        <w:rPr>
          <w:sz w:val="22"/>
          <w:szCs w:val="22"/>
        </w:rPr>
        <w:t>A partir de estas observaciones, no resulta difícil advertir que el marco presupuestal proyectado para 2026 deja sin resolver las necesidades centrales del Instituto en tres frentes clave: reforzar la gestión arqueológica en el PAPCU, consolidar rutas de trabajo participativo en patrimonio vivo y generar instrumentos operativos para la protección del patrimonio natural. En los tres casos, la reducción o insuficiencia de recursos afecta procesos que dependen de continuidad, acumulación técnica y presencia territorial, y cuya interrupción tendría efectos más costosos en los años siguientes.</w:t>
      </w:r>
    </w:p>
    <w:p w:rsidR="00743DA6" w:rsidRDefault="00D95D19">
      <w:pPr>
        <w:spacing w:before="240" w:after="240" w:line="259" w:lineRule="auto"/>
        <w:jc w:val="both"/>
        <w:rPr>
          <w:sz w:val="22"/>
          <w:szCs w:val="22"/>
        </w:rPr>
      </w:pPr>
      <w:r>
        <w:rPr>
          <w:sz w:val="22"/>
          <w:szCs w:val="22"/>
        </w:rPr>
        <w:t>Bajo estas condiciones, la pertinencia de una adición presupuestal no se explica por la expansión de funciones nuevas, sino por la necesidad de evitar que el avance alcanzado hasta 2025 entre en un ciclo de involución institucional. El Distrito ya cuenta con mecanismos de planeación y metas sectoriales que exigen que los procesos de salvaguardia mantengan una secuencia metodológica estable. Un ajuste selectivo al presupuesto permitiría cerrar brechas puntuales y asegurar que los tres programas estratégicos, patrimonio natural, patrimonio arqueológico y patrimonio vivo, dispongan de los insumos necesarios para cumplir con los compromisos derivados del Plan de Desarrollo, de la estructura de patrimonios del POT y de las obligaciones técnicas que acompañan el reconocimiento de áreas protegidas, plazas de mercado y paisajes culturales.</w:t>
      </w:r>
    </w:p>
    <w:p w:rsidR="00743DA6" w:rsidRDefault="00D95D19">
      <w:pPr>
        <w:spacing w:before="240" w:after="240" w:line="259" w:lineRule="auto"/>
        <w:jc w:val="both"/>
        <w:rPr>
          <w:b/>
          <w:bCs/>
          <w:sz w:val="22"/>
          <w:szCs w:val="22"/>
        </w:rPr>
      </w:pPr>
      <w:r>
        <w:rPr>
          <w:b/>
          <w:bCs/>
          <w:sz w:val="22"/>
          <w:szCs w:val="22"/>
        </w:rPr>
        <w:t>Tabla No. 29. Adición presupuestal IDPC</w:t>
      </w:r>
    </w:p>
    <w:tbl>
      <w:tblPr>
        <w:tblStyle w:val="affffff9"/>
        <w:tblW w:w="9420" w:type="dxa"/>
        <w:tblBorders>
          <w:top w:val="nil"/>
          <w:left w:val="nil"/>
          <w:bottom w:val="nil"/>
          <w:right w:val="nil"/>
          <w:insideH w:val="nil"/>
          <w:insideV w:val="nil"/>
        </w:tblBorders>
        <w:tblLayout w:type="fixed"/>
        <w:tblLook w:val="0600" w:firstRow="0" w:lastRow="0" w:firstColumn="0" w:lastColumn="0" w:noHBand="1" w:noVBand="1"/>
      </w:tblPr>
      <w:tblGrid>
        <w:gridCol w:w="2850"/>
        <w:gridCol w:w="4515"/>
        <w:gridCol w:w="2055"/>
      </w:tblGrid>
      <w:tr w:rsidR="00743DA6">
        <w:trPr>
          <w:trHeight w:val="840"/>
        </w:trPr>
        <w:tc>
          <w:tcPr>
            <w:tcW w:w="2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center"/>
              <w:rPr>
                <w:rFonts w:ascii="Arial" w:eastAsia="Arial" w:hAnsi="Arial" w:cs="Arial"/>
                <w:b/>
                <w:bCs/>
                <w:sz w:val="18"/>
                <w:szCs w:val="18"/>
              </w:rPr>
            </w:pPr>
            <w:r>
              <w:rPr>
                <w:rFonts w:ascii="Arial" w:eastAsia="Arial" w:hAnsi="Arial" w:cs="Arial"/>
                <w:b/>
                <w:bCs/>
                <w:sz w:val="18"/>
                <w:szCs w:val="18"/>
              </w:rPr>
              <w:t>PROYECTO</w:t>
            </w:r>
          </w:p>
        </w:tc>
        <w:tc>
          <w:tcPr>
            <w:tcW w:w="45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center"/>
              <w:rPr>
                <w:rFonts w:ascii="Arial" w:eastAsia="Arial" w:hAnsi="Arial" w:cs="Arial"/>
                <w:b/>
                <w:bCs/>
                <w:sz w:val="18"/>
                <w:szCs w:val="18"/>
              </w:rPr>
            </w:pPr>
            <w:r>
              <w:rPr>
                <w:rFonts w:ascii="Arial" w:eastAsia="Arial" w:hAnsi="Arial" w:cs="Arial"/>
                <w:b/>
                <w:bCs/>
                <w:sz w:val="18"/>
                <w:szCs w:val="18"/>
              </w:rPr>
              <w:t>Actividad</w:t>
            </w:r>
          </w:p>
        </w:tc>
        <w:tc>
          <w:tcPr>
            <w:tcW w:w="205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center"/>
              <w:rPr>
                <w:rFonts w:ascii="Arial" w:eastAsia="Arial" w:hAnsi="Arial" w:cs="Arial"/>
                <w:b/>
                <w:bCs/>
                <w:sz w:val="18"/>
                <w:szCs w:val="18"/>
              </w:rPr>
            </w:pPr>
            <w:r>
              <w:rPr>
                <w:rFonts w:ascii="Arial" w:eastAsia="Arial" w:hAnsi="Arial" w:cs="Arial"/>
                <w:b/>
                <w:bCs/>
                <w:sz w:val="18"/>
                <w:szCs w:val="18"/>
              </w:rPr>
              <w:t xml:space="preserve"> VALOR (en millones de pesos $)</w:t>
            </w:r>
          </w:p>
        </w:tc>
      </w:tr>
      <w:tr w:rsidR="00743DA6">
        <w:trPr>
          <w:trHeight w:val="1146"/>
        </w:trPr>
        <w:tc>
          <w:tcPr>
            <w:tcW w:w="28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rFonts w:ascii="Arial" w:eastAsia="Arial" w:hAnsi="Arial" w:cs="Arial"/>
                <w:sz w:val="18"/>
                <w:szCs w:val="18"/>
              </w:rPr>
            </w:pPr>
            <w:r>
              <w:rPr>
                <w:rFonts w:ascii="Arial" w:eastAsia="Arial" w:hAnsi="Arial" w:cs="Arial"/>
                <w:sz w:val="18"/>
                <w:szCs w:val="18"/>
              </w:rPr>
              <w:t>7963 - Desarrollo de instrumentos de planeación y gestión territorial, asociados a los patrimonios de Bogotá D.C.</w:t>
            </w:r>
          </w:p>
        </w:tc>
        <w:tc>
          <w:tcPr>
            <w:tcW w:w="451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rFonts w:ascii="Arial" w:eastAsia="Arial" w:hAnsi="Arial" w:cs="Arial"/>
                <w:sz w:val="18"/>
                <w:szCs w:val="18"/>
              </w:rPr>
            </w:pPr>
            <w:r>
              <w:rPr>
                <w:rFonts w:ascii="Arial" w:eastAsia="Arial" w:hAnsi="Arial" w:cs="Arial"/>
                <w:sz w:val="18"/>
                <w:szCs w:val="18"/>
              </w:rPr>
              <w:t>2-Desarrollar 2 instrumentos para la protección, conservación y sostenibilidad de los patrimonios.</w:t>
            </w:r>
          </w:p>
        </w:tc>
        <w:tc>
          <w:tcPr>
            <w:tcW w:w="205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right"/>
              <w:rPr>
                <w:rFonts w:ascii="Arial" w:eastAsia="Arial" w:hAnsi="Arial" w:cs="Arial"/>
                <w:sz w:val="18"/>
                <w:szCs w:val="18"/>
              </w:rPr>
            </w:pPr>
            <w:r>
              <w:rPr>
                <w:rFonts w:ascii="Arial" w:eastAsia="Arial" w:hAnsi="Arial" w:cs="Arial"/>
                <w:sz w:val="18"/>
                <w:szCs w:val="18"/>
              </w:rPr>
              <w:t xml:space="preserve"> $400</w:t>
            </w:r>
          </w:p>
        </w:tc>
      </w:tr>
      <w:tr w:rsidR="00743DA6">
        <w:trPr>
          <w:trHeight w:val="1006"/>
        </w:trPr>
        <w:tc>
          <w:tcPr>
            <w:tcW w:w="28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rFonts w:ascii="Arial" w:eastAsia="Arial" w:hAnsi="Arial" w:cs="Arial"/>
                <w:sz w:val="18"/>
                <w:szCs w:val="18"/>
              </w:rPr>
            </w:pPr>
            <w:r>
              <w:rPr>
                <w:rFonts w:ascii="Arial" w:eastAsia="Arial" w:hAnsi="Arial" w:cs="Arial"/>
                <w:sz w:val="18"/>
                <w:szCs w:val="18"/>
              </w:rPr>
              <w:t>8136 - Desarrollo de acciones para la gestión del patrimonio arqueológico de Bogotá D.C.</w:t>
            </w:r>
          </w:p>
        </w:tc>
        <w:tc>
          <w:tcPr>
            <w:tcW w:w="451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rFonts w:ascii="Arial" w:eastAsia="Arial" w:hAnsi="Arial" w:cs="Arial"/>
                <w:sz w:val="18"/>
                <w:szCs w:val="18"/>
              </w:rPr>
            </w:pPr>
            <w:r>
              <w:rPr>
                <w:rFonts w:ascii="Arial" w:eastAsia="Arial" w:hAnsi="Arial" w:cs="Arial"/>
                <w:sz w:val="18"/>
                <w:szCs w:val="18"/>
              </w:rPr>
              <w:t>2-Implementar el 100% de las acciones a corto plazo de los programas estratégicos del Plan de Manejo Arqueológico de Hacienda El Carmen.</w:t>
            </w:r>
          </w:p>
        </w:tc>
        <w:tc>
          <w:tcPr>
            <w:tcW w:w="205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right"/>
              <w:rPr>
                <w:rFonts w:ascii="Arial" w:eastAsia="Arial" w:hAnsi="Arial" w:cs="Arial"/>
                <w:sz w:val="18"/>
                <w:szCs w:val="18"/>
              </w:rPr>
            </w:pPr>
            <w:r>
              <w:rPr>
                <w:rFonts w:ascii="Arial" w:eastAsia="Arial" w:hAnsi="Arial" w:cs="Arial"/>
                <w:sz w:val="18"/>
                <w:szCs w:val="18"/>
              </w:rPr>
              <w:t xml:space="preserve"> $1,200</w:t>
            </w:r>
          </w:p>
        </w:tc>
      </w:tr>
      <w:tr w:rsidR="00743DA6">
        <w:trPr>
          <w:trHeight w:val="1578"/>
        </w:trPr>
        <w:tc>
          <w:tcPr>
            <w:tcW w:w="28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rFonts w:ascii="Arial" w:eastAsia="Arial" w:hAnsi="Arial" w:cs="Arial"/>
                <w:sz w:val="18"/>
                <w:szCs w:val="18"/>
              </w:rPr>
            </w:pPr>
            <w:r>
              <w:rPr>
                <w:rFonts w:ascii="Arial" w:eastAsia="Arial" w:hAnsi="Arial" w:cs="Arial"/>
                <w:sz w:val="18"/>
                <w:szCs w:val="18"/>
              </w:rPr>
              <w:t>8144 - Desarrollo de procesos de valoración, identificación, documentación y registro de prácticas y manifestaciones del patrimonio vivo en Bogotá D.C.</w:t>
            </w:r>
          </w:p>
        </w:tc>
        <w:tc>
          <w:tcPr>
            <w:tcW w:w="451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rFonts w:ascii="Arial" w:eastAsia="Arial" w:hAnsi="Arial" w:cs="Arial"/>
                <w:sz w:val="18"/>
                <w:szCs w:val="18"/>
              </w:rPr>
            </w:pPr>
            <w:r>
              <w:rPr>
                <w:rFonts w:ascii="Arial" w:eastAsia="Arial" w:hAnsi="Arial" w:cs="Arial"/>
                <w:sz w:val="18"/>
                <w:szCs w:val="18"/>
              </w:rPr>
              <w:t>1-Implementar 1 proceso de valoración, identificación, documentación y registro del Patrimonio Vivo asociado espacios culturales y los diversos campos del patrimonio cultural inmaterial</w:t>
            </w:r>
          </w:p>
        </w:tc>
        <w:tc>
          <w:tcPr>
            <w:tcW w:w="2055" w:type="dxa"/>
            <w:tcBorders>
              <w:top w:val="nil"/>
              <w:left w:val="nil"/>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right"/>
              <w:rPr>
                <w:rFonts w:ascii="Arial" w:eastAsia="Arial" w:hAnsi="Arial" w:cs="Arial"/>
                <w:sz w:val="18"/>
                <w:szCs w:val="18"/>
              </w:rPr>
            </w:pPr>
            <w:r>
              <w:rPr>
                <w:rFonts w:ascii="Arial" w:eastAsia="Arial" w:hAnsi="Arial" w:cs="Arial"/>
                <w:sz w:val="18"/>
                <w:szCs w:val="18"/>
              </w:rPr>
              <w:t xml:space="preserve"> $400</w:t>
            </w:r>
          </w:p>
        </w:tc>
      </w:tr>
      <w:tr w:rsidR="00743DA6">
        <w:trPr>
          <w:trHeight w:val="285"/>
        </w:trPr>
        <w:tc>
          <w:tcPr>
            <w:tcW w:w="7365" w:type="dxa"/>
            <w:gridSpan w:val="2"/>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743DA6" w:rsidRDefault="00D95D19">
            <w:pPr>
              <w:shd w:val="clear" w:color="auto" w:fill="FFFFFF"/>
              <w:spacing w:before="240" w:after="240" w:line="276" w:lineRule="auto"/>
              <w:jc w:val="both"/>
              <w:rPr>
                <w:rFonts w:ascii="Arial" w:eastAsia="Arial" w:hAnsi="Arial" w:cs="Arial"/>
                <w:sz w:val="18"/>
                <w:szCs w:val="18"/>
              </w:rPr>
            </w:pPr>
            <w:r>
              <w:rPr>
                <w:rFonts w:ascii="Arial" w:eastAsia="Arial" w:hAnsi="Arial" w:cs="Arial"/>
                <w:sz w:val="18"/>
                <w:szCs w:val="18"/>
              </w:rPr>
              <w:t>TOTALES</w:t>
            </w:r>
          </w:p>
        </w:tc>
        <w:tc>
          <w:tcPr>
            <w:tcW w:w="20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743DA6" w:rsidRDefault="00D95D19">
            <w:pPr>
              <w:shd w:val="clear" w:color="auto" w:fill="FFFFFF"/>
              <w:spacing w:before="240" w:after="240" w:line="276" w:lineRule="auto"/>
              <w:jc w:val="both"/>
              <w:rPr>
                <w:rFonts w:ascii="Arial" w:eastAsia="Arial" w:hAnsi="Arial" w:cs="Arial"/>
                <w:sz w:val="18"/>
                <w:szCs w:val="18"/>
              </w:rPr>
            </w:pPr>
            <w:r>
              <w:rPr>
                <w:rFonts w:ascii="Arial" w:eastAsia="Arial" w:hAnsi="Arial" w:cs="Arial"/>
                <w:sz w:val="18"/>
                <w:szCs w:val="18"/>
              </w:rPr>
              <w:t xml:space="preserve"> $2,000</w:t>
            </w:r>
          </w:p>
        </w:tc>
      </w:tr>
    </w:tbl>
    <w:p w:rsidR="00743DA6" w:rsidRDefault="00743DA6">
      <w:pPr>
        <w:pBdr>
          <w:top w:val="nil"/>
          <w:left w:val="nil"/>
          <w:bottom w:val="nil"/>
          <w:right w:val="nil"/>
          <w:between w:val="nil"/>
        </w:pBdr>
        <w:spacing w:line="259" w:lineRule="auto"/>
        <w:rPr>
          <w:b/>
          <w:bCs/>
        </w:rPr>
      </w:pPr>
    </w:p>
    <w:p w:rsidR="00743DA6" w:rsidRDefault="00743DA6">
      <w:pPr>
        <w:pBdr>
          <w:top w:val="nil"/>
          <w:left w:val="nil"/>
          <w:bottom w:val="nil"/>
          <w:right w:val="nil"/>
          <w:between w:val="nil"/>
        </w:pBdr>
        <w:spacing w:line="259" w:lineRule="auto"/>
      </w:pPr>
    </w:p>
    <w:p w:rsidR="00743DA6" w:rsidRDefault="00743DA6">
      <w:pPr>
        <w:pBdr>
          <w:top w:val="nil"/>
          <w:left w:val="nil"/>
          <w:bottom w:val="nil"/>
          <w:right w:val="nil"/>
          <w:between w:val="nil"/>
        </w:pBdr>
        <w:spacing w:line="259" w:lineRule="auto"/>
      </w:pPr>
    </w:p>
    <w:p w:rsidR="00743DA6" w:rsidRDefault="00743DA6">
      <w:pPr>
        <w:pBdr>
          <w:top w:val="nil"/>
          <w:left w:val="nil"/>
          <w:bottom w:val="nil"/>
          <w:right w:val="nil"/>
          <w:between w:val="nil"/>
        </w:pBdr>
        <w:spacing w:line="259" w:lineRule="auto"/>
      </w:pPr>
    </w:p>
    <w:p w:rsidR="00743DA6" w:rsidRDefault="00D95D19">
      <w:pPr>
        <w:pBdr>
          <w:top w:val="nil"/>
          <w:left w:val="nil"/>
          <w:bottom w:val="nil"/>
          <w:right w:val="nil"/>
          <w:between w:val="nil"/>
        </w:pBdr>
        <w:spacing w:line="259" w:lineRule="auto"/>
        <w:rPr>
          <w:b/>
          <w:bCs/>
          <w:sz w:val="22"/>
          <w:szCs w:val="22"/>
        </w:rPr>
      </w:pPr>
      <w:r>
        <w:rPr>
          <w:b/>
          <w:bCs/>
          <w:color w:val="000000"/>
          <w:sz w:val="22"/>
          <w:szCs w:val="22"/>
        </w:rPr>
        <w:t xml:space="preserve">Instituto Distrital de Recreación y Deporte </w:t>
      </w:r>
      <w:r>
        <w:rPr>
          <w:b/>
          <w:bCs/>
          <w:sz w:val="22"/>
          <w:szCs w:val="22"/>
        </w:rPr>
        <w:t xml:space="preserve">(IDRD) </w:t>
      </w:r>
    </w:p>
    <w:p w:rsidR="00743DA6" w:rsidRDefault="00743DA6">
      <w:pPr>
        <w:pBdr>
          <w:top w:val="nil"/>
          <w:left w:val="nil"/>
          <w:bottom w:val="nil"/>
          <w:right w:val="nil"/>
          <w:between w:val="nil"/>
        </w:pBdr>
        <w:spacing w:line="259" w:lineRule="auto"/>
        <w:rPr>
          <w:b/>
          <w:bCs/>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El presupuesto de Inversión del IDRD para la vigencia 2026 presenta una contracción significativa del -12,64%, con un monto de inversión directa  programado  en $486.513 millones (-$70.380 millones más que en la vigencia 2025) y con $54.300 millones en funcionamiento. El Instituto Distrital de Recreación y Deporte (IDRD) es la segunda entidad con mayor recorte presupuestal en inversión del sector cultura después de la Fundación Gilberto Alzate que proyecta un recorte presupuestal para el 2026 del -21%.</w:t>
      </w:r>
    </w:p>
    <w:p w:rsidR="00743DA6" w:rsidRDefault="00743DA6">
      <w:pPr>
        <w:pBdr>
          <w:top w:val="nil"/>
          <w:left w:val="nil"/>
          <w:bottom w:val="nil"/>
          <w:right w:val="nil"/>
          <w:between w:val="nil"/>
        </w:pBdr>
        <w:spacing w:line="259" w:lineRule="auto"/>
        <w:jc w:val="both"/>
      </w:pPr>
    </w:p>
    <w:p w:rsidR="00743DA6" w:rsidRDefault="00D95D19">
      <w:pPr>
        <w:pBdr>
          <w:top w:val="nil"/>
          <w:left w:val="nil"/>
          <w:bottom w:val="nil"/>
          <w:right w:val="nil"/>
          <w:between w:val="nil"/>
        </w:pBdr>
        <w:spacing w:line="259" w:lineRule="auto"/>
        <w:jc w:val="center"/>
      </w:pPr>
      <w:r>
        <w:t xml:space="preserve">Gráfica x: Histórico Presupuestal 2022-2026 IDRD </w:t>
      </w:r>
    </w:p>
    <w:p w:rsidR="00743DA6" w:rsidRDefault="00D95D19">
      <w:pPr>
        <w:pBdr>
          <w:top w:val="nil"/>
          <w:left w:val="nil"/>
          <w:bottom w:val="nil"/>
          <w:right w:val="nil"/>
          <w:between w:val="nil"/>
        </w:pBdr>
        <w:spacing w:line="259" w:lineRule="auto"/>
      </w:pPr>
      <w:r>
        <w:rPr>
          <w:noProof/>
          <w:lang w:val="es-CO"/>
        </w:rPr>
        <w:drawing>
          <wp:inline distT="114300" distB="114300" distL="114300" distR="114300">
            <wp:extent cx="5612130" cy="2794000"/>
            <wp:effectExtent l="0" t="0" r="0" b="0"/>
            <wp:docPr id="2127399586"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2"/>
                    <a:srcRect/>
                    <a:stretch>
                      <a:fillRect/>
                    </a:stretch>
                  </pic:blipFill>
                  <pic:spPr>
                    <a:xfrm>
                      <a:off x="0" y="0"/>
                      <a:ext cx="5612130" cy="2794000"/>
                    </a:xfrm>
                    <a:prstGeom prst="rect">
                      <a:avLst/>
                    </a:prstGeom>
                    <a:ln/>
                  </pic:spPr>
                </pic:pic>
              </a:graphicData>
            </a:graphic>
          </wp:inline>
        </w:drawing>
      </w:r>
    </w:p>
    <w:p w:rsidR="00743DA6" w:rsidRDefault="00D95D19">
      <w:pPr>
        <w:pBdr>
          <w:top w:val="nil"/>
          <w:left w:val="nil"/>
          <w:bottom w:val="nil"/>
          <w:right w:val="nil"/>
          <w:between w:val="nil"/>
        </w:pBdr>
        <w:spacing w:line="259" w:lineRule="auto"/>
        <w:jc w:val="center"/>
        <w:rPr>
          <w:sz w:val="18"/>
          <w:szCs w:val="18"/>
        </w:rPr>
      </w:pPr>
      <w:r>
        <w:rPr>
          <w:sz w:val="18"/>
          <w:szCs w:val="18"/>
        </w:rPr>
        <w:t xml:space="preserve">Fuente: Elaboración propia (2025) con base en la información suministrada por SDH (2025) </w:t>
      </w:r>
    </w:p>
    <w:p w:rsidR="00743DA6" w:rsidRDefault="00743DA6">
      <w:pPr>
        <w:pBdr>
          <w:top w:val="nil"/>
          <w:left w:val="nil"/>
          <w:bottom w:val="nil"/>
          <w:right w:val="nil"/>
          <w:between w:val="nil"/>
        </w:pBdr>
        <w:spacing w:line="259" w:lineRule="auto"/>
        <w:rPr>
          <w:sz w:val="18"/>
          <w:szCs w:val="18"/>
        </w:rPr>
      </w:pPr>
    </w:p>
    <w:p w:rsidR="00743DA6" w:rsidRDefault="00D95D19">
      <w:pPr>
        <w:pBdr>
          <w:top w:val="nil"/>
          <w:left w:val="nil"/>
          <w:bottom w:val="nil"/>
          <w:right w:val="nil"/>
          <w:between w:val="nil"/>
        </w:pBdr>
        <w:spacing w:line="259" w:lineRule="auto"/>
        <w:jc w:val="both"/>
        <w:rPr>
          <w:sz w:val="22"/>
          <w:szCs w:val="22"/>
        </w:rPr>
      </w:pPr>
      <w:r>
        <w:rPr>
          <w:sz w:val="22"/>
          <w:szCs w:val="22"/>
        </w:rPr>
        <w:t>El presupuesto disponible de Inversión Directa del IDRD muestra la mayor fluctuación en 2022-2026, alcanzando su punto más alto en 2023 con $629.000 millones y en 2024 el valor más bajo del periodo analizado con $382.000 millones. Para 2025, la inversión directa del IDRD tuvo una recuperación significativa, ascendiendo a $556.000 millones.</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Respecto a la ejecución, la tasa de compromisos del IDRD se mantuvo alta y estable entre 2022 y 2024, con porcentajes del 99%, 95% y 96% respectivamente. No obstante, al igual que el sector general, en 2025 esta tasa de ejecución de compromisos cayó a 78%. La ejecución en giros (pagos) del IDRD se mantuvo en rangos bajos a lo largo del quinquenio. El porcentaje de giros más alto fue de 64% en 2024, mientras que el IDRD registró sus porcentajes de ejecución de giros más bajos en 2023 y 2025, ambos con solo 43%.</w:t>
      </w:r>
    </w:p>
    <w:p w:rsidR="00743DA6" w:rsidRDefault="00743DA6">
      <w:pPr>
        <w:pBdr>
          <w:top w:val="nil"/>
          <w:left w:val="nil"/>
          <w:bottom w:val="nil"/>
          <w:right w:val="nil"/>
          <w:between w:val="nil"/>
        </w:pBdr>
        <w:spacing w:line="259" w:lineRule="auto"/>
        <w:jc w:val="both"/>
        <w:rPr>
          <w:sz w:val="22"/>
          <w:szCs w:val="22"/>
        </w:rPr>
      </w:pP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b/>
          <w:bCs/>
          <w:sz w:val="22"/>
          <w:szCs w:val="22"/>
        </w:rPr>
      </w:pPr>
      <w:r>
        <w:rPr>
          <w:b/>
          <w:bCs/>
          <w:sz w:val="22"/>
          <w:szCs w:val="22"/>
        </w:rPr>
        <w:t>Tabla No. 30. Comparativo 2025-2026 por proyecto de inversión IDRD</w:t>
      </w:r>
    </w:p>
    <w:p w:rsidR="00743DA6" w:rsidRDefault="00743DA6">
      <w:pPr>
        <w:spacing w:line="259" w:lineRule="auto"/>
        <w:jc w:val="both"/>
      </w:pPr>
    </w:p>
    <w:tbl>
      <w:tblPr>
        <w:tblStyle w:val="affffffa"/>
        <w:tblW w:w="8850" w:type="dxa"/>
        <w:tblBorders>
          <w:top w:val="nil"/>
          <w:left w:val="nil"/>
          <w:bottom w:val="nil"/>
          <w:right w:val="nil"/>
          <w:insideH w:val="nil"/>
          <w:insideV w:val="nil"/>
        </w:tblBorders>
        <w:tblLayout w:type="fixed"/>
        <w:tblLook w:val="0600" w:firstRow="0" w:lastRow="0" w:firstColumn="0" w:lastColumn="0" w:noHBand="1" w:noVBand="1"/>
      </w:tblPr>
      <w:tblGrid>
        <w:gridCol w:w="3030"/>
        <w:gridCol w:w="1185"/>
        <w:gridCol w:w="1140"/>
        <w:gridCol w:w="1200"/>
        <w:gridCol w:w="1080"/>
        <w:gridCol w:w="1215"/>
      </w:tblGrid>
      <w:tr w:rsidR="00743DA6">
        <w:trPr>
          <w:trHeight w:val="995"/>
        </w:trPr>
        <w:tc>
          <w:tcPr>
            <w:tcW w:w="30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b/>
                <w:bCs/>
                <w:sz w:val="20"/>
                <w:szCs w:val="20"/>
              </w:rPr>
              <w:t xml:space="preserve">PROYECTOS DE INVERSION </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b/>
                <w:bCs/>
                <w:sz w:val="20"/>
                <w:szCs w:val="20"/>
              </w:rPr>
              <w:t xml:space="preserve"> Suma de 2025 PROG </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b/>
                <w:bCs/>
                <w:sz w:val="20"/>
                <w:szCs w:val="20"/>
              </w:rPr>
              <w:t xml:space="preserve"> Suma de 2025 COMPROMISOS </w:t>
            </w:r>
          </w:p>
        </w:tc>
        <w:tc>
          <w:tcPr>
            <w:tcW w:w="120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b/>
                <w:bCs/>
                <w:sz w:val="20"/>
                <w:szCs w:val="20"/>
              </w:rPr>
              <w:t xml:space="preserve"> Suma de 2025 GIROS </w:t>
            </w:r>
          </w:p>
        </w:tc>
        <w:tc>
          <w:tcPr>
            <w:tcW w:w="10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b/>
                <w:bCs/>
                <w:sz w:val="20"/>
                <w:szCs w:val="20"/>
              </w:rPr>
              <w:t xml:space="preserve"> Suma de 2026 PROG </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b/>
                <w:bCs/>
                <w:sz w:val="20"/>
                <w:szCs w:val="20"/>
              </w:rPr>
              <w:t xml:space="preserve"> Suma de Diferencia PROG </w:t>
            </w:r>
          </w:p>
        </w:tc>
      </w:tr>
      <w:tr w:rsidR="00743DA6">
        <w:trPr>
          <w:trHeight w:val="725"/>
        </w:trPr>
        <w:tc>
          <w:tcPr>
            <w:tcW w:w="30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8162 </w:t>
            </w:r>
          </w:p>
          <w:p w:rsidR="00743DA6" w:rsidRDefault="00D95D19">
            <w:pPr>
              <w:spacing w:line="259" w:lineRule="auto"/>
              <w:jc w:val="both"/>
              <w:rPr>
                <w:sz w:val="20"/>
                <w:szCs w:val="20"/>
              </w:rPr>
            </w:pPr>
            <w:r>
              <w:rPr>
                <w:sz w:val="20"/>
                <w:szCs w:val="20"/>
              </w:rPr>
              <w:t>Administración de parques y escenarios confiables y seguros para promover el encuentro y apropiación del espacio público de Bogotá D.C.</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$226.898</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$162.551</w:t>
            </w:r>
          </w:p>
        </w:tc>
        <w:tc>
          <w:tcPr>
            <w:tcW w:w="120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$70.733</w:t>
            </w:r>
          </w:p>
        </w:tc>
        <w:tc>
          <w:tcPr>
            <w:tcW w:w="10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$189.303</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-$37.596</w:t>
            </w:r>
          </w:p>
        </w:tc>
      </w:tr>
      <w:tr w:rsidR="00743DA6">
        <w:trPr>
          <w:trHeight w:val="455"/>
        </w:trPr>
        <w:tc>
          <w:tcPr>
            <w:tcW w:w="30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8155 </w:t>
            </w:r>
          </w:p>
          <w:p w:rsidR="00743DA6" w:rsidRDefault="00D95D19">
            <w:pPr>
              <w:spacing w:line="259" w:lineRule="auto"/>
              <w:jc w:val="both"/>
              <w:rPr>
                <w:sz w:val="20"/>
                <w:szCs w:val="20"/>
              </w:rPr>
            </w:pPr>
            <w:r>
              <w:rPr>
                <w:sz w:val="20"/>
                <w:szCs w:val="20"/>
              </w:rPr>
              <w:t>Desarrollo de programas recreativos y de actividad física en Bogotá D.C.</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$67.884</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$56.803</w:t>
            </w:r>
          </w:p>
        </w:tc>
        <w:tc>
          <w:tcPr>
            <w:tcW w:w="120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$ 19.873</w:t>
            </w:r>
          </w:p>
        </w:tc>
        <w:tc>
          <w:tcPr>
            <w:tcW w:w="10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$46.794</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-$21.090</w:t>
            </w:r>
          </w:p>
        </w:tc>
      </w:tr>
      <w:tr w:rsidR="00743DA6">
        <w:trPr>
          <w:trHeight w:val="725"/>
        </w:trPr>
        <w:tc>
          <w:tcPr>
            <w:tcW w:w="30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8154 </w:t>
            </w:r>
          </w:p>
          <w:p w:rsidR="00743DA6" w:rsidRDefault="00D95D19">
            <w:pPr>
              <w:spacing w:line="259" w:lineRule="auto"/>
              <w:jc w:val="both"/>
              <w:rPr>
                <w:sz w:val="20"/>
                <w:szCs w:val="20"/>
              </w:rPr>
            </w:pPr>
            <w:r>
              <w:rPr>
                <w:sz w:val="20"/>
                <w:szCs w:val="20"/>
              </w:rPr>
              <w:t>Implementación de los programas de BOGOTÁ DEPORTIVA desde la iniciación hasta el rendimiento en Bogotá D.C</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$74.013</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$62.763</w:t>
            </w:r>
          </w:p>
        </w:tc>
        <w:tc>
          <w:tcPr>
            <w:tcW w:w="120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$ 34.929</w:t>
            </w:r>
          </w:p>
        </w:tc>
        <w:tc>
          <w:tcPr>
            <w:tcW w:w="10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$61.718</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-$12.295</w:t>
            </w:r>
          </w:p>
        </w:tc>
      </w:tr>
      <w:tr w:rsidR="00743DA6">
        <w:trPr>
          <w:trHeight w:val="725"/>
        </w:trPr>
        <w:tc>
          <w:tcPr>
            <w:tcW w:w="30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8169 </w:t>
            </w:r>
          </w:p>
          <w:p w:rsidR="00743DA6" w:rsidRDefault="00D95D19">
            <w:pPr>
              <w:spacing w:line="259" w:lineRule="auto"/>
              <w:jc w:val="both"/>
              <w:rPr>
                <w:sz w:val="20"/>
                <w:szCs w:val="20"/>
              </w:rPr>
            </w:pPr>
            <w:r>
              <w:rPr>
                <w:sz w:val="20"/>
                <w:szCs w:val="20"/>
              </w:rPr>
              <w:t>Construcción y adecuación de parques y escenarios recreodeportivos para el encuentro y disfrute de los habitantes de Bogotá D.C.</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$155.336</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$67.262</w:t>
            </w:r>
          </w:p>
        </w:tc>
        <w:tc>
          <w:tcPr>
            <w:tcW w:w="120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$ 33.223</w:t>
            </w:r>
          </w:p>
        </w:tc>
        <w:tc>
          <w:tcPr>
            <w:tcW w:w="10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$145.249</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-$10.087</w:t>
            </w:r>
          </w:p>
        </w:tc>
      </w:tr>
      <w:tr w:rsidR="00743DA6">
        <w:trPr>
          <w:trHeight w:val="980"/>
        </w:trPr>
        <w:tc>
          <w:tcPr>
            <w:tcW w:w="30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8159</w:t>
            </w:r>
          </w:p>
          <w:p w:rsidR="00743DA6" w:rsidRDefault="00D95D19">
            <w:pPr>
              <w:spacing w:line="259" w:lineRule="auto"/>
              <w:jc w:val="both"/>
              <w:rPr>
                <w:sz w:val="20"/>
                <w:szCs w:val="20"/>
              </w:rPr>
            </w:pPr>
            <w:r>
              <w:rPr>
                <w:sz w:val="20"/>
                <w:szCs w:val="20"/>
              </w:rPr>
              <w:t>Formación integral de la primera infancia, infancia, adolescencia y juventud a través de procesos de exploración, apropiación e iniciación mediante el juego y el deporte en Bogotá D.C.</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$28.476</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$26.248</w:t>
            </w:r>
          </w:p>
        </w:tc>
        <w:tc>
          <w:tcPr>
            <w:tcW w:w="120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$ 11.796</w:t>
            </w:r>
          </w:p>
        </w:tc>
        <w:tc>
          <w:tcPr>
            <w:tcW w:w="10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$22.745</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-$5.731</w:t>
            </w:r>
          </w:p>
        </w:tc>
      </w:tr>
      <w:tr w:rsidR="00743DA6">
        <w:trPr>
          <w:trHeight w:val="725"/>
        </w:trPr>
        <w:tc>
          <w:tcPr>
            <w:tcW w:w="30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8165 </w:t>
            </w:r>
          </w:p>
          <w:p w:rsidR="00743DA6" w:rsidRDefault="00D95D19">
            <w:pPr>
              <w:spacing w:line="259" w:lineRule="auto"/>
              <w:jc w:val="both"/>
              <w:rPr>
                <w:sz w:val="20"/>
                <w:szCs w:val="20"/>
              </w:rPr>
            </w:pPr>
            <w:r>
              <w:rPr>
                <w:sz w:val="20"/>
                <w:szCs w:val="20"/>
              </w:rPr>
              <w:t>Fortalecimiento de la capacidad institucional para una gestión pública, eficiente y oportuna en Bogotá D.C.</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$15.333</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$14.113</w:t>
            </w:r>
          </w:p>
        </w:tc>
        <w:tc>
          <w:tcPr>
            <w:tcW w:w="120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$ 7.816</w:t>
            </w:r>
          </w:p>
        </w:tc>
        <w:tc>
          <w:tcPr>
            <w:tcW w:w="10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$14.434</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-$899</w:t>
            </w:r>
          </w:p>
        </w:tc>
      </w:tr>
      <w:tr w:rsidR="00743DA6">
        <w:trPr>
          <w:trHeight w:val="455"/>
        </w:trPr>
        <w:tc>
          <w:tcPr>
            <w:tcW w:w="30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8167 </w:t>
            </w:r>
          </w:p>
          <w:p w:rsidR="00743DA6" w:rsidRDefault="00D95D19">
            <w:pPr>
              <w:spacing w:line="259" w:lineRule="auto"/>
              <w:jc w:val="both"/>
              <w:rPr>
                <w:sz w:val="20"/>
                <w:szCs w:val="20"/>
              </w:rPr>
            </w:pPr>
            <w:r>
              <w:rPr>
                <w:sz w:val="20"/>
                <w:szCs w:val="20"/>
              </w:rPr>
              <w:t>Fortalecimiento de la economía del deporte y la recrea</w:t>
            </w:r>
          </w:p>
          <w:p w:rsidR="00743DA6" w:rsidRDefault="00D95D19">
            <w:pPr>
              <w:spacing w:line="259" w:lineRule="auto"/>
              <w:jc w:val="both"/>
              <w:rPr>
                <w:sz w:val="20"/>
                <w:szCs w:val="20"/>
              </w:rPr>
            </w:pPr>
            <w:r>
              <w:rPr>
                <w:sz w:val="20"/>
                <w:szCs w:val="20"/>
              </w:rPr>
              <w:t>ción en Bogotá D.C</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$2.372</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$2.347</w:t>
            </w:r>
          </w:p>
        </w:tc>
        <w:tc>
          <w:tcPr>
            <w:tcW w:w="120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$ 1.128</w:t>
            </w:r>
          </w:p>
        </w:tc>
        <w:tc>
          <w:tcPr>
            <w:tcW w:w="10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$1.770</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-$602</w:t>
            </w:r>
          </w:p>
        </w:tc>
      </w:tr>
      <w:tr w:rsidR="00743DA6">
        <w:trPr>
          <w:trHeight w:val="725"/>
        </w:trPr>
        <w:tc>
          <w:tcPr>
            <w:tcW w:w="30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8168 </w:t>
            </w:r>
          </w:p>
          <w:p w:rsidR="00743DA6" w:rsidRDefault="00D95D19">
            <w:pPr>
              <w:spacing w:line="259" w:lineRule="auto"/>
              <w:jc w:val="both"/>
              <w:rPr>
                <w:sz w:val="20"/>
                <w:szCs w:val="20"/>
              </w:rPr>
            </w:pPr>
            <w:r>
              <w:rPr>
                <w:sz w:val="20"/>
                <w:szCs w:val="20"/>
              </w:rPr>
              <w:t>Fortalecimiento de la gestión recreodeportiva, la participación incidente y la construcción de comunidad desde los barrios en Bogotá D.C.</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$4.126</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$2.501</w:t>
            </w:r>
          </w:p>
        </w:tc>
        <w:tc>
          <w:tcPr>
            <w:tcW w:w="120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$ 1.524</w:t>
            </w:r>
          </w:p>
        </w:tc>
        <w:tc>
          <w:tcPr>
            <w:tcW w:w="10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$4.500</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$374</w:t>
            </w:r>
          </w:p>
        </w:tc>
      </w:tr>
      <w:tr w:rsidR="00743DA6">
        <w:trPr>
          <w:trHeight w:val="455"/>
        </w:trPr>
        <w:tc>
          <w:tcPr>
            <w:tcW w:w="30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Total general</w:t>
            </w:r>
          </w:p>
        </w:tc>
        <w:tc>
          <w:tcPr>
            <w:tcW w:w="11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$574.439</w:t>
            </w:r>
          </w:p>
        </w:tc>
        <w:tc>
          <w:tcPr>
            <w:tcW w:w="114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$394.588</w:t>
            </w:r>
          </w:p>
        </w:tc>
        <w:tc>
          <w:tcPr>
            <w:tcW w:w="120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xml:space="preserve"> $ 181.021</w:t>
            </w:r>
          </w:p>
        </w:tc>
        <w:tc>
          <w:tcPr>
            <w:tcW w:w="10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$486.513</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59" w:lineRule="auto"/>
              <w:jc w:val="both"/>
              <w:rPr>
                <w:sz w:val="20"/>
                <w:szCs w:val="20"/>
              </w:rPr>
            </w:pPr>
            <w:r>
              <w:rPr>
                <w:sz w:val="20"/>
                <w:szCs w:val="20"/>
              </w:rPr>
              <w:t>-$ 87.925</w:t>
            </w:r>
          </w:p>
        </w:tc>
      </w:tr>
    </w:tbl>
    <w:p w:rsidR="00743DA6" w:rsidRDefault="00D95D19">
      <w:pPr>
        <w:pBdr>
          <w:top w:val="nil"/>
          <w:left w:val="nil"/>
          <w:bottom w:val="nil"/>
          <w:right w:val="nil"/>
          <w:between w:val="nil"/>
        </w:pBdr>
        <w:spacing w:line="259" w:lineRule="auto"/>
        <w:jc w:val="center"/>
        <w:rPr>
          <w:sz w:val="18"/>
          <w:szCs w:val="18"/>
        </w:rPr>
      </w:pPr>
      <w:r>
        <w:rPr>
          <w:sz w:val="18"/>
          <w:szCs w:val="18"/>
        </w:rPr>
        <w:t>Fuente: Elaboración propia (2025) con base en la información suministrada por la SDH (2025)</w:t>
      </w:r>
    </w:p>
    <w:p w:rsidR="00743DA6" w:rsidRDefault="00D95D19">
      <w:pPr>
        <w:spacing w:before="240" w:after="240" w:line="259" w:lineRule="auto"/>
        <w:jc w:val="both"/>
        <w:rPr>
          <w:sz w:val="22"/>
          <w:szCs w:val="22"/>
        </w:rPr>
      </w:pPr>
      <w:r>
        <w:rPr>
          <w:sz w:val="22"/>
          <w:szCs w:val="22"/>
        </w:rPr>
        <w:t xml:space="preserve">El IDRD cuenta con 8 proyectos de inversión, 13 metas y 44 actividades. Las inversiones del IDRD proyectadas para el otro año se enfocan en varios proyectos clave, aunque muchos con presupuestos reducidos para 2026. El proyecto 8162: Administración de parques y escenarios confiables y seguros" cuenta con $183.000 millones para 2026 y con una reducción del -18% que se traduce en -$37.000 millones respecto al 2025. La meta de este proyecto es “Administrar, mantener y/o mejorar 146 Parques”. La meta en su conjunto tuvo una ejecución con corte al 30 de octubre del 2025 del 43% y la actividad que mayor recorte presupuestal tiene dentro de esta meta (-$22.000 millones) tiene un porcentaje de ejecución del 45%. </w:t>
      </w:r>
    </w:p>
    <w:p w:rsidR="00743DA6" w:rsidRDefault="00D95D19">
      <w:pPr>
        <w:spacing w:before="240" w:after="240" w:line="259" w:lineRule="auto"/>
        <w:jc w:val="both"/>
        <w:rPr>
          <w:sz w:val="22"/>
          <w:szCs w:val="22"/>
        </w:rPr>
      </w:pPr>
      <w:r>
        <w:rPr>
          <w:sz w:val="22"/>
          <w:szCs w:val="22"/>
        </w:rPr>
        <w:t>Este recorte resulta especialmente relevante si se considera que Bogotá presenta un déficit significativo de parques y áreas verdes. Según el Primer Encuentro por el Espacio Público realizado por el DADEP en mayo de 2025, el 35 % de los sectores con acceso crítico a parques metropolitanos corresponde a zonas de Usme, el occidente de Fontibón, Engativá y el norte en expansión. A ello se suma que, de acuerdo con Greenpeace, 13 localidades de la ciudad registran déficit de espacio público verde, lo que evidencia la necesidad de mantener y fortalecer la inversión destinada a estas infraestructuras.</w:t>
      </w:r>
    </w:p>
    <w:p w:rsidR="00743DA6" w:rsidRDefault="00D95D19">
      <w:pPr>
        <w:spacing w:before="240" w:after="240" w:line="259" w:lineRule="auto"/>
        <w:jc w:val="both"/>
        <w:rPr>
          <w:sz w:val="22"/>
          <w:szCs w:val="22"/>
        </w:rPr>
      </w:pPr>
      <w:r>
        <w:rPr>
          <w:sz w:val="22"/>
          <w:szCs w:val="22"/>
        </w:rPr>
        <w:t xml:space="preserve">Otros proyectos específicos muestran contracciones importantes, como el 8155 "Desarrollo de programas recreativos y de actividad física en Bogotá D.C.", que cae  un -28,90% (a $46.794 millones ), y la 8159 "Formación integral de la primera infancia" con una disminución del -17,6%. La reducción en estos proyectos impactan a millones de habitantes, en especial a mujeres cuidadoras y jóvenes deportistas. La administración y el mantenimiento de parques y escenarios con recursos del cupo ha tenido un impacto social significativo, garantizando espacios seguros y funcionales para la comunidad y con estos recortes presupuestales se verán afectados los procesos y prácticas deportivas que han venido percibiendo los últimos años un cercamiento en cuanto los escenarios deportivos. </w:t>
      </w:r>
    </w:p>
    <w:p w:rsidR="00743DA6" w:rsidRDefault="00D95D19">
      <w:pPr>
        <w:spacing w:before="240" w:after="240" w:line="259" w:lineRule="auto"/>
        <w:jc w:val="both"/>
        <w:rPr>
          <w:b/>
          <w:bCs/>
          <w:sz w:val="22"/>
          <w:szCs w:val="22"/>
        </w:rPr>
      </w:pPr>
      <w:r>
        <w:rPr>
          <w:b/>
          <w:bCs/>
          <w:sz w:val="22"/>
          <w:szCs w:val="22"/>
        </w:rPr>
        <w:t>Unidad Deportiva el Salitre: Una necesidad para garantizar el derecho al deporte.</w:t>
      </w:r>
    </w:p>
    <w:p w:rsidR="00743DA6" w:rsidRDefault="00D95D19">
      <w:pPr>
        <w:spacing w:before="240" w:after="240" w:line="259" w:lineRule="auto"/>
        <w:jc w:val="both"/>
        <w:rPr>
          <w:sz w:val="22"/>
          <w:szCs w:val="22"/>
        </w:rPr>
      </w:pPr>
      <w:r>
        <w:rPr>
          <w:sz w:val="22"/>
          <w:szCs w:val="22"/>
        </w:rPr>
        <w:t>La Unidad Deportiva el Salitre, el escenario también conocido por las siglas UDS cuenta con un área de 24,3 hectáreas para la práctica de las diferentes disciplinas deportivas de los habitantes de Bogotá. El Complejo Deportivo se encuentra ubicado sobre la Avenida 68 con Calle 63, al interior del Parque Metropolitano Simón Bolívar y aledaño al Jardín Botánico. Este escenario ha sido eje de importantes torneos y competencias deportivas locales, nacionales e internacionales; además de ser el epicentro de la promoción del Deporte Capitalino y el escenario para el entrenamiento de las Ligas de las diferentes disciplinas deportivas.</w:t>
      </w:r>
    </w:p>
    <w:p w:rsidR="00743DA6" w:rsidRDefault="00D95D19">
      <w:pPr>
        <w:spacing w:before="240" w:after="240" w:line="259" w:lineRule="auto"/>
        <w:jc w:val="both"/>
        <w:rPr>
          <w:sz w:val="22"/>
          <w:szCs w:val="22"/>
        </w:rPr>
      </w:pPr>
      <w:r>
        <w:rPr>
          <w:sz w:val="22"/>
          <w:szCs w:val="22"/>
        </w:rPr>
        <w:t>En la actualidad el Instituto Distrital de Recreación y Deporte tiene suscrito el contrato de obra 3113 de 2023 con el cual se pretende la adecuación de este escenario, adecuación que, segùn el IDRD cuenta con Diseños Definitivos.  Resulta preocupante entonces la disminuciòn presupuestal del -4% que se tiene para el proyecto 8169</w:t>
      </w:r>
      <w:r>
        <w:rPr>
          <w:b/>
          <w:bCs/>
          <w:sz w:val="22"/>
          <w:szCs w:val="22"/>
        </w:rPr>
        <w:t xml:space="preserve"> </w:t>
      </w:r>
      <w:r>
        <w:rPr>
          <w:sz w:val="22"/>
          <w:szCs w:val="22"/>
        </w:rPr>
        <w:t>“Construcción  y adecuación de parques y escenarios recreodeportivos para el encuentro y disfrute de los habitantes de Bogotá D.C”</w:t>
      </w:r>
      <w:r>
        <w:rPr>
          <w:b/>
          <w:bCs/>
          <w:sz w:val="22"/>
          <w:szCs w:val="22"/>
        </w:rPr>
        <w:t xml:space="preserve"> </w:t>
      </w:r>
      <w:r>
        <w:rPr>
          <w:sz w:val="22"/>
          <w:szCs w:val="22"/>
        </w:rPr>
        <w:t>puesto que el recurso necesario para la ejecuciòn de la obra civil de los 10.100 m2 que hacen parte del alcance contractual està contenido en este proyecto de inverisòn.</w:t>
      </w:r>
    </w:p>
    <w:p w:rsidR="00743DA6" w:rsidRDefault="00D95D19">
      <w:pPr>
        <w:spacing w:before="240" w:after="240" w:line="259" w:lineRule="auto"/>
        <w:jc w:val="both"/>
      </w:pPr>
      <w:r>
        <w:rPr>
          <w:sz w:val="22"/>
          <w:szCs w:val="22"/>
        </w:rPr>
        <w:t>Estos recursos se hacen esenciales para el IDRD, toda vez que, para el mes de marzo de 202 la entidad tendrá definido la continuación del contrato 3113 de 2023 e inicio de la etapa de obra o iniciar un nuevo proceso licitatorio; para cualquiera de los dos caminos es necesario el recurso. Con la adecuación de la UDS se espera beneficiar cerca 5.579 personas entre deportistas de manera general adscritos a las disciplinas, escuelas, entrenadores de ligas y directivos.</w:t>
      </w:r>
    </w:p>
    <w:p w:rsidR="00743DA6" w:rsidRDefault="00D95D19">
      <w:pPr>
        <w:pBdr>
          <w:top w:val="nil"/>
          <w:left w:val="nil"/>
          <w:bottom w:val="nil"/>
          <w:right w:val="nil"/>
          <w:between w:val="nil"/>
        </w:pBdr>
        <w:spacing w:line="259" w:lineRule="auto"/>
        <w:rPr>
          <w:b/>
          <w:bCs/>
          <w:color w:val="000000"/>
        </w:rPr>
      </w:pPr>
      <w:r>
        <w:rPr>
          <w:b/>
          <w:bCs/>
          <w:color w:val="000000"/>
        </w:rPr>
        <w:t xml:space="preserve">Instituto Distrital de las Artes. </w:t>
      </w:r>
    </w:p>
    <w:p w:rsidR="00743DA6" w:rsidRDefault="00743DA6">
      <w:pPr>
        <w:pBdr>
          <w:top w:val="nil"/>
          <w:left w:val="nil"/>
          <w:bottom w:val="nil"/>
          <w:right w:val="nil"/>
          <w:between w:val="nil"/>
        </w:pBdr>
        <w:spacing w:line="259" w:lineRule="auto"/>
      </w:pPr>
    </w:p>
    <w:p w:rsidR="00743DA6" w:rsidRDefault="00D95D19">
      <w:pPr>
        <w:spacing w:line="276" w:lineRule="auto"/>
        <w:jc w:val="center"/>
        <w:rPr>
          <w:sz w:val="22"/>
          <w:szCs w:val="22"/>
        </w:rPr>
      </w:pPr>
      <w:r>
        <w:rPr>
          <w:sz w:val="22"/>
          <w:szCs w:val="22"/>
        </w:rPr>
        <w:t>Gráfica x Histórico Presupuestal 2022- 2025 Instituto Distrital de Las Artes (IDARTES)</w:t>
      </w:r>
    </w:p>
    <w:p w:rsidR="00743DA6" w:rsidRDefault="00D95D19">
      <w:pPr>
        <w:spacing w:line="276" w:lineRule="auto"/>
        <w:jc w:val="center"/>
        <w:rPr>
          <w:sz w:val="22"/>
          <w:szCs w:val="22"/>
        </w:rPr>
      </w:pPr>
      <w:r>
        <w:rPr>
          <w:noProof/>
          <w:sz w:val="18"/>
          <w:szCs w:val="18"/>
          <w:lang w:val="es-CO"/>
        </w:rPr>
        <w:drawing>
          <wp:inline distT="114300" distB="114300" distL="114300" distR="114300">
            <wp:extent cx="5612130" cy="2654300"/>
            <wp:effectExtent l="0" t="0" r="0" b="0"/>
            <wp:docPr id="212739958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3"/>
                    <a:srcRect l="923"/>
                    <a:stretch>
                      <a:fillRect/>
                    </a:stretch>
                  </pic:blipFill>
                  <pic:spPr>
                    <a:xfrm>
                      <a:off x="0" y="0"/>
                      <a:ext cx="5612130" cy="2654300"/>
                    </a:xfrm>
                    <a:prstGeom prst="rect">
                      <a:avLst/>
                    </a:prstGeom>
                    <a:ln/>
                  </pic:spPr>
                </pic:pic>
              </a:graphicData>
            </a:graphic>
          </wp:inline>
        </w:drawing>
      </w:r>
      <w:r>
        <w:rPr>
          <w:b/>
          <w:bCs/>
          <w:sz w:val="18"/>
          <w:szCs w:val="18"/>
        </w:rPr>
        <w:t>Fuente:</w:t>
      </w:r>
      <w:r>
        <w:rPr>
          <w:sz w:val="18"/>
          <w:szCs w:val="18"/>
        </w:rPr>
        <w:t xml:space="preserve"> Elaboración propia (2025) con base en la información suministrada de la SDH (2025)</w:t>
      </w:r>
      <w:r>
        <w:rPr>
          <w:sz w:val="22"/>
          <w:szCs w:val="22"/>
        </w:rPr>
        <w:t>.</w:t>
      </w:r>
    </w:p>
    <w:p w:rsidR="00743DA6" w:rsidRDefault="00D95D19">
      <w:pPr>
        <w:spacing w:before="240" w:after="240" w:line="276" w:lineRule="auto"/>
        <w:jc w:val="both"/>
        <w:rPr>
          <w:sz w:val="22"/>
          <w:szCs w:val="22"/>
        </w:rPr>
      </w:pPr>
      <w:r>
        <w:rPr>
          <w:sz w:val="22"/>
          <w:szCs w:val="22"/>
        </w:rPr>
        <w:t>Desde 2022 hasta 2026, el análisis de las variaciones presupuestales de IDARTES revela una tendencia constante de aumento en la asignación de recursos destinados al sector cultural. En 2022, el presupuesto inicial fue de aproximadamente 159.091 millones de pesos, alcanzando una ejecución cercana al 95%. Para 2023, el presupuesto aumentó a aproximadamente 177.319 millones, reflejando un crecimiento del 11.5% respecto al año anterior, con una alta eficiencia en la utilización de los recursos, evidenciada en un porcentaje de ejecución del 97%. La tendencia continúa en 2024, cuando el presupuesto se incrementó a cerca de 211.280 millones, un crecimiento del 19.2%. En 2025, se observa un nuevo aumento hasta aproximadamente 226.186 millones, aunque en 2026 hay una ligera disminución a unos 215.022 millones, lo que representa una reducción del 4.9% en comparación con 2025.</w:t>
      </w:r>
    </w:p>
    <w:p w:rsidR="00743DA6" w:rsidRDefault="00D95D19">
      <w:pPr>
        <w:spacing w:before="240" w:after="240" w:line="276" w:lineRule="auto"/>
        <w:jc w:val="both"/>
        <w:rPr>
          <w:sz w:val="22"/>
          <w:szCs w:val="22"/>
        </w:rPr>
      </w:pPr>
      <w:r>
        <w:rPr>
          <w:sz w:val="22"/>
          <w:szCs w:val="22"/>
        </w:rPr>
        <w:t>Es importante destacar que el presupuesto destinado a inversión ha mantenido una presencia significativa en las cifras totales, aumentando de forma progresiva en estos años. Por ejemplo, en 2022 la inversión fue de aproximadamente 150 mil millones, elevándose a cerca de 200 mil millones en 2026, lo que indica un firme compromiso en fortalecer infraestructura y programas culturales. La gestión en la ejecución presupuestal ha sido eficiente, con porcentajes de compromisos y giros cercanos o superiores al 90%, incluso alcanzando un 98% en algunos años.</w:t>
      </w:r>
    </w:p>
    <w:p w:rsidR="00743DA6" w:rsidRDefault="00D95D19">
      <w:pPr>
        <w:spacing w:before="240" w:after="240" w:line="259" w:lineRule="auto"/>
        <w:jc w:val="center"/>
        <w:rPr>
          <w:b/>
          <w:bCs/>
          <w:sz w:val="22"/>
          <w:szCs w:val="22"/>
        </w:rPr>
      </w:pPr>
      <w:r>
        <w:rPr>
          <w:b/>
          <w:bCs/>
          <w:sz w:val="22"/>
          <w:szCs w:val="22"/>
        </w:rPr>
        <w:t>Tabla No. 31.</w:t>
      </w:r>
      <w:r>
        <w:rPr>
          <w:sz w:val="22"/>
          <w:szCs w:val="22"/>
        </w:rPr>
        <w:t xml:space="preserve"> </w:t>
      </w:r>
      <w:r>
        <w:rPr>
          <w:b/>
          <w:bCs/>
          <w:sz w:val="22"/>
          <w:szCs w:val="22"/>
        </w:rPr>
        <w:t>Programación Presupuestal Comparada de IDARTES Vigencia 2025 y Proyecto de Presupuesto 2026</w:t>
      </w:r>
    </w:p>
    <w:sdt>
      <w:sdtPr>
        <w:rPr>
          <w:rFonts w:ascii="Arial" w:eastAsia="Arial" w:hAnsi="Arial" w:cs="Arial"/>
          <w:sz w:val="24"/>
          <w:szCs w:val="24"/>
          <w:lang w:val="es" w:eastAsia="es-CO"/>
        </w:rPr>
        <w:tag w:val="goog_rdk_462"/>
        <w:id w:val="-570662007"/>
        <w:lock w:val="contentLocked"/>
      </w:sdtPr>
      <w:sdtEndPr/>
      <w:sdtContent>
        <w:tbl>
          <w:tblPr>
            <w:tblStyle w:val="affffffb"/>
            <w:tblW w:w="8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05"/>
            <w:gridCol w:w="1440"/>
            <w:gridCol w:w="1485"/>
            <w:gridCol w:w="1290"/>
            <w:gridCol w:w="1440"/>
            <w:gridCol w:w="1260"/>
          </w:tblGrid>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Proyecto Inversión IDARTES</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Suma de 2025 PROG </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Suma de 2025 COMPROMISOS</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Suma de 2025 GIROS</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Suma de 2026 PROG </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Suma de Diferencia PROG </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Adecuación, mantenimiento y modernización de los equipamientos culturales a cargo del Idartes en Bogotá D.C.</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$13.925,25</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$10.743,40</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$4.848,31</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$9.980,00</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-$3.945,25</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Consolidación de la Red de Escenarios Culturales en Bogotá D.C.</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$40.991,43</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$25.504,75</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$18.390,19</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$46.957,91</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$5.966,48</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Consolidación de procesos creativos, innovadores, incluyentes, participativos y de transformación social a través del fomento a las prácticas artísticas en Bogotá D.C.</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$27.950,05</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$26.881,48</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$21.663,33</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$29.620,52</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$1.670,47</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Consolidación de procesos desde las artes que aporten al desarrollo integral de la primera infancia en Bogotá D.C.</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$9.692,51</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$9.529,24</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$5.865,62</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$9.900,00</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$207,49</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Fortalecimiento de la infraestructura tecnológica, comunicativa y la gestión institucional para la cualificación de capacidades y mejoramiento de los servicios dirigidos a la ciudadanía en Bogotá D.C</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$25.756,56</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$22.727,69</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$12.612,86</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$27.571,00</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$1.814,45</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Fortalecimiento de las prácticas artísticas en el espacio público, para promover la convivencia, apropiación ciudadana y la generación de confianza en Bogotá D.C.</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$39.624,13</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$38.904,90</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$25.824,39</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$40.808,90</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$1.184,77</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Fortalecimiento y posicionamiento del sector artístico mediante la promoción del conocimiento y la internacionalización cultural en Bogotá D.C.</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$2.352,34</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$2.272,77</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$1.187,91</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$1.447,27</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-$905,07</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Generación de contenidos digitales de experiencias y formación artística para la apropiación en Bogotá D.C.</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$864,40</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$788,29</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$544,69</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$726,57</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-$137,83</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Implementación de prácticas artísticas y creativas para la promoción del bienestar y la innovación social en Bogotá D.C.</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$7.153,45</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$7.058,63</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$3.314,68</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$4.654,07</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-$2.499,38</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Implementación de procesos de formación artística con las comunidades en Bogotá D.C.</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 xml:space="preserve"> $42.414,61</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$39.263,32</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$26.697,33</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$42.050,00</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-$364,61</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Implementación del ecosistema sostenible para las artes en Bogotá D.C.</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$1.396,14</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$1.264,48</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$856,31</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$1.306,29</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-$89,85</w:t>
                </w:r>
              </w:p>
            </w:tc>
          </w:tr>
          <w:tr w:rsidR="00743DA6">
            <w:tc>
              <w:tcPr>
                <w:tcW w:w="190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Total general</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$212.120,86</w:t>
                </w:r>
              </w:p>
            </w:tc>
            <w:tc>
              <w:tcPr>
                <w:tcW w:w="1485"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$184.938,96</w:t>
                </w:r>
              </w:p>
            </w:tc>
            <w:tc>
              <w:tcPr>
                <w:tcW w:w="129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$121.805,61</w:t>
                </w:r>
              </w:p>
            </w:tc>
            <w:tc>
              <w:tcPr>
                <w:tcW w:w="144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$215.022,53</w:t>
                </w:r>
              </w:p>
            </w:tc>
            <w:tc>
              <w:tcPr>
                <w:tcW w:w="1260" w:type="dxa"/>
                <w:tcBorders>
                  <w:top w:val="single" w:sz="7" w:space="0" w:color="000000"/>
                  <w:left w:val="single" w:sz="7" w:space="0" w:color="000000"/>
                  <w:bottom w:val="single" w:sz="7" w:space="0" w:color="000000"/>
                  <w:right w:val="single" w:sz="7" w:space="0" w:color="000000"/>
                </w:tcBorders>
                <w:tcMar>
                  <w:top w:w="100" w:type="dxa"/>
                  <w:left w:w="100" w:type="dxa"/>
                  <w:bottom w:w="10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$2.901,67</w:t>
                </w:r>
              </w:p>
            </w:tc>
          </w:tr>
        </w:tbl>
      </w:sdtContent>
    </w:sdt>
    <w:p w:rsidR="00743DA6" w:rsidRDefault="00D95D19">
      <w:pPr>
        <w:spacing w:line="276" w:lineRule="auto"/>
        <w:jc w:val="both"/>
        <w:rPr>
          <w:sz w:val="26"/>
          <w:szCs w:val="26"/>
        </w:rPr>
      </w:pPr>
      <w:r>
        <w:rPr>
          <w:b/>
          <w:bCs/>
          <w:sz w:val="18"/>
          <w:szCs w:val="18"/>
        </w:rPr>
        <w:t>Fuente:</w:t>
      </w:r>
      <w:r>
        <w:rPr>
          <w:sz w:val="18"/>
          <w:szCs w:val="18"/>
        </w:rPr>
        <w:t xml:space="preserve"> Elaboración propia (2025) con base en la información suministrada de la SDH (2025).</w:t>
      </w:r>
    </w:p>
    <w:p w:rsidR="00743DA6" w:rsidRDefault="00D95D19">
      <w:pPr>
        <w:spacing w:before="240" w:after="240" w:line="276" w:lineRule="auto"/>
        <w:jc w:val="both"/>
        <w:rPr>
          <w:sz w:val="22"/>
          <w:szCs w:val="22"/>
        </w:rPr>
      </w:pPr>
      <w:r>
        <w:rPr>
          <w:sz w:val="22"/>
          <w:szCs w:val="22"/>
        </w:rPr>
        <w:t>En la mayoría de los proyectos, los montos asignados para 2026 superan los programados para 2025, con incrementos particularmente relevantes en algunos casos. Un ejemplo es el proyecto “Fortalecimiento de la infraestructura tecnológica, comunicativa y la gestión institucional”, cuyo presupuesto pasa de $25.756,56 millones en 2025 a $27.571 millones en 2026, lo que representa un aumento cercano al 7 %.</w:t>
      </w:r>
    </w:p>
    <w:p w:rsidR="00743DA6" w:rsidRDefault="00D95D19">
      <w:pPr>
        <w:spacing w:before="240" w:after="240" w:line="276" w:lineRule="auto"/>
        <w:jc w:val="both"/>
        <w:rPr>
          <w:sz w:val="22"/>
          <w:szCs w:val="22"/>
        </w:rPr>
      </w:pPr>
      <w:r>
        <w:rPr>
          <w:sz w:val="22"/>
          <w:szCs w:val="22"/>
        </w:rPr>
        <w:t>En varios proyectos se observa una diferencia amplia entre los valores comprometidos y los efectivamente girados, lo que indica una brecha entre la programación contractual y la ejecución financiera. En “Fortalecimiento de la infraestructura tecnológica y gestión institucional”, los giros cercanos a $12.612,86 millones, resultan significativamente inferiores a los compromisos, que alcanzan $22.727,69 millones. Un patrón similar se presenta en “Adecuación, mantenimiento y modernización de los equipamientos culturales”, donde los giros, aproximadamente $4.848,31 millones, son sensiblemente menores que los compromisos, $10.743,40 millones, lo que evidencia un volumen pendiente de ejecución. Estas diferencias plantean la necesidad de revisar la proyección de desembolsos y la sincronización entre la contratación y la capacidad de pago de las vigencias futuras.</w:t>
      </w:r>
    </w:p>
    <w:p w:rsidR="00743DA6" w:rsidRDefault="00D95D19">
      <w:pPr>
        <w:spacing w:before="240" w:after="240" w:line="259" w:lineRule="auto"/>
        <w:jc w:val="both"/>
        <w:rPr>
          <w:sz w:val="22"/>
          <w:szCs w:val="22"/>
        </w:rPr>
      </w:pPr>
      <w:r>
        <w:rPr>
          <w:b/>
          <w:bCs/>
          <w:sz w:val="22"/>
          <w:szCs w:val="22"/>
        </w:rPr>
        <w:t>Análisis presupuestal de metas y actividades</w:t>
      </w:r>
    </w:p>
    <w:p w:rsidR="00743DA6" w:rsidRDefault="00D95D19">
      <w:pPr>
        <w:spacing w:before="240" w:after="240" w:line="276" w:lineRule="auto"/>
        <w:jc w:val="both"/>
        <w:rPr>
          <w:sz w:val="22"/>
          <w:szCs w:val="22"/>
        </w:rPr>
      </w:pPr>
      <w:r>
        <w:rPr>
          <w:sz w:val="22"/>
          <w:szCs w:val="22"/>
        </w:rPr>
        <w:t>El análisis de las cifras de inversión y ejecución presupuestal de IDARTES muestra una tendencia de subejecución en varias actividades programadas para 2025. Componentes asociados al fortalecimiento institucional, la modernización de equipamientos culturales, el bienestar infantil y las prácticas artísticas con enfoque de cohesión social presentan niveles de ejecución inferiores a lo esperado. En el caso de los equipamientos culturales, por ejemplo, la ejecución alcanza alrededor del 27 % de los recursos asignados, lo que evidencia un avance limitado frente a las metas previstas.</w:t>
      </w:r>
    </w:p>
    <w:p w:rsidR="00743DA6" w:rsidRDefault="00D95D19">
      <w:pPr>
        <w:spacing w:before="240" w:after="240" w:line="276" w:lineRule="auto"/>
        <w:jc w:val="both"/>
        <w:rPr>
          <w:sz w:val="22"/>
          <w:szCs w:val="22"/>
        </w:rPr>
      </w:pPr>
      <w:r>
        <w:rPr>
          <w:sz w:val="22"/>
          <w:szCs w:val="22"/>
        </w:rPr>
        <w:t>Esta situación sugiere que, aunque la programación inicial es amplia, la ejecución efectiva avanza de manera parcial, lo que reduce el alcance de los resultados culturales y comunitarios proyectados. Además, la perspectiva de una disminución presupuestal en 2026 para varias de estas actividades introduce interrogantes sobre la continuidad y la capacidad de expansión de los programas, particularmente en aquellos que requieren inversiones sostenidas para garantizar su impacto.</w:t>
      </w:r>
    </w:p>
    <w:p w:rsidR="00743DA6" w:rsidRDefault="00D95D19">
      <w:pPr>
        <w:pStyle w:val="Ttulo3"/>
        <w:keepNext w:val="0"/>
        <w:keepLines w:val="0"/>
        <w:spacing w:before="280" w:after="80" w:line="276" w:lineRule="auto"/>
        <w:jc w:val="both"/>
        <w:rPr>
          <w:rFonts w:ascii="Arial" w:eastAsia="Arial" w:hAnsi="Arial" w:cs="Arial"/>
          <w:color w:val="000000"/>
          <w:sz w:val="22"/>
          <w:szCs w:val="22"/>
        </w:rPr>
      </w:pPr>
      <w:bookmarkStart w:id="10" w:name="_heading=h.1dp7xj7634bj" w:colFirst="0" w:colLast="0"/>
      <w:bookmarkEnd w:id="10"/>
      <w:r>
        <w:rPr>
          <w:rFonts w:ascii="Arial" w:eastAsia="Arial" w:hAnsi="Arial" w:cs="Arial"/>
          <w:color w:val="000000"/>
          <w:sz w:val="22"/>
          <w:szCs w:val="22"/>
        </w:rPr>
        <w:t>1. Meta 2092: Beneficiar a 189.809 personas a partir de la primera infancia (...). Proyecto: “Consolidación de procesos desde las artes… primera infancia”</w:t>
      </w:r>
    </w:p>
    <w:p w:rsidR="00743DA6" w:rsidRDefault="00D95D19">
      <w:pPr>
        <w:pStyle w:val="Ttulo2"/>
        <w:keepNext w:val="0"/>
        <w:spacing w:before="360" w:after="80" w:line="276" w:lineRule="auto"/>
        <w:ind w:left="720" w:hanging="360"/>
        <w:jc w:val="both"/>
        <w:rPr>
          <w:rFonts w:ascii="Arial" w:eastAsia="Arial" w:hAnsi="Arial" w:cs="Arial"/>
          <w:sz w:val="22"/>
          <w:szCs w:val="22"/>
        </w:rPr>
      </w:pPr>
      <w:bookmarkStart w:id="11" w:name="_heading=h.5sjnb6cyo5ra" w:colFirst="0" w:colLast="0"/>
      <w:bookmarkEnd w:id="11"/>
      <w:r>
        <w:rPr>
          <w:rFonts w:ascii="Arial" w:eastAsia="Arial" w:hAnsi="Arial" w:cs="Arial"/>
          <w:sz w:val="22"/>
          <w:szCs w:val="22"/>
        </w:rPr>
        <w:t>1.1. Actividad 1 – Mantener 20 espacios físicos para la primera infancia</w:t>
      </w:r>
    </w:p>
    <w:p w:rsidR="00743DA6" w:rsidRDefault="00D95D19">
      <w:pPr>
        <w:numPr>
          <w:ilvl w:val="0"/>
          <w:numId w:val="62"/>
        </w:numPr>
        <w:spacing w:before="240" w:line="276" w:lineRule="auto"/>
        <w:jc w:val="both"/>
        <w:rPr>
          <w:sz w:val="22"/>
          <w:szCs w:val="22"/>
        </w:rPr>
      </w:pPr>
      <w:r>
        <w:rPr>
          <w:sz w:val="22"/>
          <w:szCs w:val="22"/>
        </w:rPr>
        <w:t>2025 Programado: $218,730</w:t>
      </w:r>
    </w:p>
    <w:p w:rsidR="00743DA6" w:rsidRDefault="00D95D19">
      <w:pPr>
        <w:numPr>
          <w:ilvl w:val="0"/>
          <w:numId w:val="62"/>
        </w:numPr>
        <w:spacing w:line="276" w:lineRule="auto"/>
        <w:jc w:val="both"/>
        <w:rPr>
          <w:sz w:val="22"/>
          <w:szCs w:val="22"/>
        </w:rPr>
      </w:pPr>
      <w:r>
        <w:rPr>
          <w:sz w:val="22"/>
          <w:szCs w:val="22"/>
        </w:rPr>
        <w:t>2025 Compromisos: $211,705</w:t>
      </w:r>
    </w:p>
    <w:p w:rsidR="00743DA6" w:rsidRDefault="00D95D19">
      <w:pPr>
        <w:numPr>
          <w:ilvl w:val="0"/>
          <w:numId w:val="62"/>
        </w:numPr>
        <w:spacing w:line="276" w:lineRule="auto"/>
        <w:jc w:val="both"/>
        <w:rPr>
          <w:sz w:val="22"/>
          <w:szCs w:val="22"/>
        </w:rPr>
      </w:pPr>
      <w:r>
        <w:rPr>
          <w:sz w:val="22"/>
          <w:szCs w:val="22"/>
        </w:rPr>
        <w:t>2025 Girado: $130,009,080 (59% de ejecución frente al programado)</w:t>
      </w:r>
    </w:p>
    <w:p w:rsidR="00743DA6" w:rsidRDefault="00D95D19">
      <w:pPr>
        <w:numPr>
          <w:ilvl w:val="0"/>
          <w:numId w:val="62"/>
        </w:numPr>
        <w:spacing w:line="276" w:lineRule="auto"/>
        <w:jc w:val="both"/>
        <w:rPr>
          <w:sz w:val="22"/>
          <w:szCs w:val="22"/>
        </w:rPr>
      </w:pPr>
      <w:r>
        <w:rPr>
          <w:sz w:val="22"/>
          <w:szCs w:val="22"/>
        </w:rPr>
        <w:t>2026 Proyección: $172,028,000</w:t>
      </w:r>
    </w:p>
    <w:p w:rsidR="00743DA6" w:rsidRDefault="00D95D19">
      <w:pPr>
        <w:numPr>
          <w:ilvl w:val="0"/>
          <w:numId w:val="62"/>
        </w:numPr>
        <w:spacing w:after="240" w:line="276" w:lineRule="auto"/>
        <w:jc w:val="both"/>
        <w:rPr>
          <w:sz w:val="22"/>
          <w:szCs w:val="22"/>
        </w:rPr>
      </w:pPr>
      <w:r>
        <w:rPr>
          <w:sz w:val="22"/>
          <w:szCs w:val="22"/>
        </w:rPr>
        <w:t>Variación 2026 vs 2025: –$46,701,575</w:t>
      </w:r>
    </w:p>
    <w:p w:rsidR="00743DA6" w:rsidRDefault="00D95D19">
      <w:pPr>
        <w:spacing w:before="240" w:after="240" w:line="276" w:lineRule="auto"/>
        <w:jc w:val="both"/>
        <w:rPr>
          <w:sz w:val="22"/>
          <w:szCs w:val="22"/>
        </w:rPr>
      </w:pPr>
      <w:r>
        <w:rPr>
          <w:sz w:val="22"/>
          <w:szCs w:val="22"/>
        </w:rPr>
        <w:t>Esta actividad sufre una reducción del 21%, lo cual impacta directamente la infraestructura, mantenimiento y oferta de actividades presenciales. Es crítico porque mantener espacios físicos es costo fijo, y un recorte implica: menos horarios disponibles, menos operadores, riesgo de cerrar puntos de atención a primera infancia. La reducción compromete la continuidad del servicio a primera infancia y contradice la prioridad de no disminuir recursos para este grupo.</w:t>
      </w:r>
    </w:p>
    <w:p w:rsidR="00743DA6" w:rsidRDefault="00D95D19">
      <w:pPr>
        <w:pStyle w:val="Ttulo2"/>
        <w:keepNext w:val="0"/>
        <w:spacing w:before="360" w:after="80" w:line="276" w:lineRule="auto"/>
        <w:ind w:left="720" w:hanging="360"/>
        <w:jc w:val="both"/>
        <w:rPr>
          <w:rFonts w:ascii="Arial" w:eastAsia="Arial" w:hAnsi="Arial" w:cs="Arial"/>
          <w:sz w:val="22"/>
          <w:szCs w:val="22"/>
        </w:rPr>
      </w:pPr>
      <w:bookmarkStart w:id="12" w:name="_heading=h.6f73b65ln6wq" w:colFirst="0" w:colLast="0"/>
      <w:bookmarkEnd w:id="12"/>
      <w:r>
        <w:rPr>
          <w:rFonts w:ascii="Arial" w:eastAsia="Arial" w:hAnsi="Arial" w:cs="Arial"/>
          <w:sz w:val="22"/>
          <w:szCs w:val="22"/>
        </w:rPr>
        <w:t>1.2. Actividad 4 – Atender 4.600 personas relacionadas con agentes de primera infancia:</w:t>
      </w:r>
    </w:p>
    <w:p w:rsidR="00743DA6" w:rsidRDefault="00D95D19">
      <w:pPr>
        <w:numPr>
          <w:ilvl w:val="0"/>
          <w:numId w:val="40"/>
        </w:numPr>
        <w:spacing w:before="240" w:line="276" w:lineRule="auto"/>
        <w:jc w:val="both"/>
        <w:rPr>
          <w:sz w:val="22"/>
          <w:szCs w:val="22"/>
        </w:rPr>
      </w:pPr>
      <w:r>
        <w:rPr>
          <w:sz w:val="22"/>
          <w:szCs w:val="22"/>
        </w:rPr>
        <w:t>2025 Programado: $240.804</w:t>
      </w:r>
    </w:p>
    <w:p w:rsidR="00743DA6" w:rsidRDefault="00D95D19">
      <w:pPr>
        <w:numPr>
          <w:ilvl w:val="0"/>
          <w:numId w:val="40"/>
        </w:numPr>
        <w:spacing w:line="276" w:lineRule="auto"/>
        <w:jc w:val="both"/>
        <w:rPr>
          <w:sz w:val="22"/>
          <w:szCs w:val="22"/>
        </w:rPr>
      </w:pPr>
      <w:r>
        <w:rPr>
          <w:sz w:val="22"/>
          <w:szCs w:val="22"/>
        </w:rPr>
        <w:t>2025 Compromisos: $240.808</w:t>
      </w:r>
    </w:p>
    <w:p w:rsidR="00743DA6" w:rsidRDefault="00D95D19">
      <w:pPr>
        <w:numPr>
          <w:ilvl w:val="0"/>
          <w:numId w:val="40"/>
        </w:numPr>
        <w:spacing w:line="276" w:lineRule="auto"/>
        <w:jc w:val="both"/>
        <w:rPr>
          <w:sz w:val="22"/>
          <w:szCs w:val="22"/>
        </w:rPr>
      </w:pPr>
      <w:r>
        <w:rPr>
          <w:sz w:val="22"/>
          <w:szCs w:val="22"/>
        </w:rPr>
        <w:t>2025 Girado: $165.999.295</w:t>
      </w:r>
    </w:p>
    <w:p w:rsidR="00743DA6" w:rsidRDefault="00D95D19">
      <w:pPr>
        <w:numPr>
          <w:ilvl w:val="0"/>
          <w:numId w:val="40"/>
        </w:numPr>
        <w:spacing w:line="276" w:lineRule="auto"/>
        <w:jc w:val="both"/>
        <w:rPr>
          <w:sz w:val="22"/>
          <w:szCs w:val="22"/>
        </w:rPr>
      </w:pPr>
      <w:r>
        <w:rPr>
          <w:sz w:val="22"/>
          <w:szCs w:val="22"/>
        </w:rPr>
        <w:t>2026 Proyección: $212.800.000</w:t>
      </w:r>
    </w:p>
    <w:p w:rsidR="00743DA6" w:rsidRDefault="00D95D19">
      <w:pPr>
        <w:numPr>
          <w:ilvl w:val="0"/>
          <w:numId w:val="40"/>
        </w:numPr>
        <w:spacing w:after="240" w:line="276" w:lineRule="auto"/>
        <w:jc w:val="both"/>
        <w:rPr>
          <w:sz w:val="22"/>
          <w:szCs w:val="22"/>
        </w:rPr>
      </w:pPr>
      <w:r>
        <w:rPr>
          <w:sz w:val="22"/>
          <w:szCs w:val="22"/>
        </w:rPr>
        <w:t xml:space="preserve">Variación: –$28.004.675 </w:t>
      </w:r>
    </w:p>
    <w:p w:rsidR="00743DA6" w:rsidRDefault="00D95D19">
      <w:pPr>
        <w:spacing w:before="240" w:after="240" w:line="276" w:lineRule="auto"/>
        <w:jc w:val="both"/>
        <w:rPr>
          <w:sz w:val="22"/>
          <w:szCs w:val="22"/>
        </w:rPr>
      </w:pPr>
      <w:r>
        <w:rPr>
          <w:sz w:val="22"/>
          <w:szCs w:val="22"/>
        </w:rPr>
        <w:t>La reducción del 11,6 % incide de manera directa en la formación de agentes educativos y en los procesos de fortalecimiento artístico-pedagógico asociados al programa. Esta disminución modifica la disponibilidad de recursos para acciones formativas que requieren continuidad y soporte técnico, lo que a su vez introduce una tensión frente al principio institucional de mantener estable la inversión destinada a la primera infancia.</w:t>
      </w:r>
    </w:p>
    <w:p w:rsidR="00743DA6" w:rsidRDefault="00D95D19">
      <w:pPr>
        <w:pStyle w:val="Ttulo1"/>
        <w:keepNext w:val="0"/>
        <w:spacing w:before="480" w:after="120" w:line="276" w:lineRule="auto"/>
        <w:ind w:left="720" w:hanging="360"/>
        <w:jc w:val="both"/>
        <w:rPr>
          <w:rFonts w:ascii="Arial" w:eastAsia="Arial" w:hAnsi="Arial" w:cs="Arial"/>
          <w:sz w:val="22"/>
          <w:szCs w:val="22"/>
        </w:rPr>
      </w:pPr>
      <w:bookmarkStart w:id="13" w:name="_heading=h.7hi85pyk7hil" w:colFirst="0" w:colLast="0"/>
      <w:bookmarkEnd w:id="13"/>
      <w:r>
        <w:rPr>
          <w:rFonts w:ascii="Arial" w:eastAsia="Arial" w:hAnsi="Arial" w:cs="Arial"/>
          <w:sz w:val="22"/>
          <w:szCs w:val="22"/>
        </w:rPr>
        <w:t>2. Metas 2146: Vincular a 3.275 agentes colectivos, emprendimientos y organizaciones de las industrias culturales y creativas (...)</w:t>
      </w:r>
    </w:p>
    <w:p w:rsidR="00743DA6" w:rsidRDefault="00D95D19">
      <w:pPr>
        <w:pStyle w:val="Ttulo2"/>
        <w:keepNext w:val="0"/>
        <w:spacing w:before="360" w:after="80" w:line="276" w:lineRule="auto"/>
        <w:ind w:left="720" w:hanging="360"/>
        <w:jc w:val="both"/>
        <w:rPr>
          <w:rFonts w:ascii="Arial" w:eastAsia="Arial" w:hAnsi="Arial" w:cs="Arial"/>
          <w:sz w:val="22"/>
          <w:szCs w:val="22"/>
        </w:rPr>
      </w:pPr>
      <w:bookmarkStart w:id="14" w:name="_heading=h.4q8pcvdaosjb" w:colFirst="0" w:colLast="0"/>
      <w:bookmarkEnd w:id="14"/>
      <w:r>
        <w:rPr>
          <w:rFonts w:ascii="Arial" w:eastAsia="Arial" w:hAnsi="Arial" w:cs="Arial"/>
          <w:sz w:val="22"/>
          <w:szCs w:val="22"/>
        </w:rPr>
        <w:t>2. 1. Actividad 3 - Formar a 140 Agente(s) por medio de laboratorios para la sofisticación de productos y servicios culturales y creativos.</w:t>
      </w:r>
    </w:p>
    <w:p w:rsidR="00743DA6" w:rsidRDefault="00D95D19">
      <w:pPr>
        <w:numPr>
          <w:ilvl w:val="0"/>
          <w:numId w:val="18"/>
        </w:numPr>
        <w:spacing w:before="240" w:line="276" w:lineRule="auto"/>
        <w:jc w:val="both"/>
        <w:rPr>
          <w:sz w:val="22"/>
          <w:szCs w:val="22"/>
        </w:rPr>
      </w:pPr>
      <w:r>
        <w:rPr>
          <w:sz w:val="22"/>
          <w:szCs w:val="22"/>
        </w:rPr>
        <w:t>2025 Programado: $343.654.400</w:t>
      </w:r>
    </w:p>
    <w:p w:rsidR="00743DA6" w:rsidRDefault="00D95D19">
      <w:pPr>
        <w:numPr>
          <w:ilvl w:val="0"/>
          <w:numId w:val="18"/>
        </w:numPr>
        <w:spacing w:line="276" w:lineRule="auto"/>
        <w:jc w:val="both"/>
        <w:rPr>
          <w:sz w:val="22"/>
          <w:szCs w:val="22"/>
        </w:rPr>
      </w:pPr>
      <w:r>
        <w:rPr>
          <w:sz w:val="22"/>
          <w:szCs w:val="22"/>
        </w:rPr>
        <w:t>2025 Comprometido: $282.190.136</w:t>
      </w:r>
    </w:p>
    <w:p w:rsidR="00743DA6" w:rsidRDefault="00D95D19">
      <w:pPr>
        <w:numPr>
          <w:ilvl w:val="0"/>
          <w:numId w:val="18"/>
        </w:numPr>
        <w:spacing w:line="276" w:lineRule="auto"/>
        <w:jc w:val="both"/>
        <w:rPr>
          <w:sz w:val="22"/>
          <w:szCs w:val="22"/>
        </w:rPr>
      </w:pPr>
      <w:r>
        <w:rPr>
          <w:sz w:val="22"/>
          <w:szCs w:val="22"/>
        </w:rPr>
        <w:t>2025 Girado: $168.267.398</w:t>
      </w:r>
    </w:p>
    <w:p w:rsidR="00743DA6" w:rsidRDefault="00D95D19">
      <w:pPr>
        <w:numPr>
          <w:ilvl w:val="0"/>
          <w:numId w:val="18"/>
        </w:numPr>
        <w:spacing w:line="276" w:lineRule="auto"/>
        <w:jc w:val="both"/>
        <w:rPr>
          <w:sz w:val="22"/>
          <w:szCs w:val="22"/>
        </w:rPr>
      </w:pPr>
      <w:r>
        <w:rPr>
          <w:sz w:val="22"/>
          <w:szCs w:val="22"/>
        </w:rPr>
        <w:t>2026 Programado: $230.659.000</w:t>
      </w:r>
    </w:p>
    <w:p w:rsidR="00743DA6" w:rsidRDefault="00D95D19">
      <w:pPr>
        <w:numPr>
          <w:ilvl w:val="0"/>
          <w:numId w:val="18"/>
        </w:numPr>
        <w:spacing w:after="240" w:line="276" w:lineRule="auto"/>
        <w:jc w:val="both"/>
        <w:rPr>
          <w:sz w:val="22"/>
          <w:szCs w:val="22"/>
        </w:rPr>
      </w:pPr>
      <w:r>
        <w:rPr>
          <w:sz w:val="22"/>
          <w:szCs w:val="22"/>
        </w:rPr>
        <w:t>Variación: –$112.995.540</w:t>
      </w:r>
    </w:p>
    <w:p w:rsidR="00743DA6" w:rsidRDefault="00D95D19">
      <w:pPr>
        <w:spacing w:before="240" w:after="240" w:line="276" w:lineRule="auto"/>
        <w:jc w:val="both"/>
        <w:rPr>
          <w:sz w:val="22"/>
          <w:szCs w:val="22"/>
        </w:rPr>
      </w:pPr>
      <w:r>
        <w:rPr>
          <w:sz w:val="22"/>
          <w:szCs w:val="22"/>
        </w:rPr>
        <w:t>La reducción programada para el 2026 del 62.67%, lo que podría afectar procesos de formación técnica (oficios escénicos), además de que el porcentaje de Giros para 2025 está muy por debajo del compromiso establecido.</w:t>
      </w:r>
    </w:p>
    <w:p w:rsidR="00743DA6" w:rsidRDefault="00D95D19">
      <w:pPr>
        <w:pStyle w:val="Ttulo2"/>
        <w:keepNext w:val="0"/>
        <w:spacing w:before="360" w:after="80" w:line="276" w:lineRule="auto"/>
        <w:ind w:left="360"/>
        <w:jc w:val="both"/>
        <w:rPr>
          <w:rFonts w:ascii="Arial" w:eastAsia="Arial" w:hAnsi="Arial" w:cs="Arial"/>
          <w:sz w:val="22"/>
          <w:szCs w:val="22"/>
        </w:rPr>
      </w:pPr>
      <w:bookmarkStart w:id="15" w:name="_heading=h.9k824cxges7q" w:colFirst="0" w:colLast="0"/>
      <w:bookmarkEnd w:id="15"/>
      <w:r>
        <w:rPr>
          <w:rFonts w:ascii="Arial" w:eastAsia="Arial" w:hAnsi="Arial" w:cs="Arial"/>
          <w:sz w:val="22"/>
          <w:szCs w:val="22"/>
        </w:rPr>
        <w:t>2.2 Actividad 4 - Formar a 140 Agente(s) por medio de laboratorios para la sofisticación de productos y servicios culturales y creativos.</w:t>
      </w:r>
    </w:p>
    <w:p w:rsidR="00743DA6" w:rsidRDefault="00D95D19">
      <w:pPr>
        <w:numPr>
          <w:ilvl w:val="0"/>
          <w:numId w:val="18"/>
        </w:numPr>
        <w:spacing w:before="240" w:line="276" w:lineRule="auto"/>
        <w:jc w:val="both"/>
        <w:rPr>
          <w:sz w:val="22"/>
          <w:szCs w:val="22"/>
        </w:rPr>
      </w:pPr>
      <w:r>
        <w:rPr>
          <w:sz w:val="22"/>
          <w:szCs w:val="22"/>
        </w:rPr>
        <w:t>2025 Programado: $343.654.400</w:t>
      </w:r>
    </w:p>
    <w:p w:rsidR="00743DA6" w:rsidRDefault="00D95D19">
      <w:pPr>
        <w:numPr>
          <w:ilvl w:val="0"/>
          <w:numId w:val="18"/>
        </w:numPr>
        <w:spacing w:line="276" w:lineRule="auto"/>
        <w:jc w:val="both"/>
        <w:rPr>
          <w:sz w:val="22"/>
          <w:szCs w:val="22"/>
        </w:rPr>
      </w:pPr>
      <w:r>
        <w:rPr>
          <w:sz w:val="22"/>
          <w:szCs w:val="22"/>
        </w:rPr>
        <w:t>2025 Comprometido: $282.190.136</w:t>
      </w:r>
    </w:p>
    <w:p w:rsidR="00743DA6" w:rsidRDefault="00D95D19">
      <w:pPr>
        <w:numPr>
          <w:ilvl w:val="0"/>
          <w:numId w:val="18"/>
        </w:numPr>
        <w:spacing w:line="276" w:lineRule="auto"/>
        <w:jc w:val="both"/>
        <w:rPr>
          <w:sz w:val="22"/>
          <w:szCs w:val="22"/>
        </w:rPr>
      </w:pPr>
      <w:r>
        <w:rPr>
          <w:sz w:val="22"/>
          <w:szCs w:val="22"/>
        </w:rPr>
        <w:t>2025 Girado: $168.267.398</w:t>
      </w:r>
    </w:p>
    <w:p w:rsidR="00743DA6" w:rsidRDefault="00D95D19">
      <w:pPr>
        <w:numPr>
          <w:ilvl w:val="0"/>
          <w:numId w:val="18"/>
        </w:numPr>
        <w:spacing w:line="276" w:lineRule="auto"/>
        <w:jc w:val="both"/>
        <w:rPr>
          <w:sz w:val="22"/>
          <w:szCs w:val="22"/>
        </w:rPr>
      </w:pPr>
      <w:r>
        <w:rPr>
          <w:sz w:val="22"/>
          <w:szCs w:val="22"/>
        </w:rPr>
        <w:t>2026 Programado: $230.659.000</w:t>
      </w:r>
    </w:p>
    <w:p w:rsidR="00743DA6" w:rsidRDefault="00D95D19">
      <w:pPr>
        <w:numPr>
          <w:ilvl w:val="0"/>
          <w:numId w:val="18"/>
        </w:numPr>
        <w:spacing w:after="240" w:line="276" w:lineRule="auto"/>
        <w:jc w:val="both"/>
        <w:rPr>
          <w:sz w:val="22"/>
          <w:szCs w:val="22"/>
        </w:rPr>
      </w:pPr>
      <w:r>
        <w:rPr>
          <w:sz w:val="22"/>
          <w:szCs w:val="22"/>
        </w:rPr>
        <w:t>Variación: –$112.995.540</w:t>
      </w:r>
    </w:p>
    <w:p w:rsidR="00743DA6" w:rsidRDefault="00D95D19">
      <w:pPr>
        <w:spacing w:before="240" w:after="240" w:line="276" w:lineRule="auto"/>
        <w:jc w:val="both"/>
        <w:rPr>
          <w:sz w:val="22"/>
          <w:szCs w:val="22"/>
        </w:rPr>
      </w:pPr>
      <w:r>
        <w:rPr>
          <w:sz w:val="22"/>
          <w:szCs w:val="22"/>
        </w:rPr>
        <w:t>La Actividad 4 presenta una variación presupuestal relevante, ya que combina una ejecución limitada con una reducción significativa de recursos para 2026. Aunque en 2025 se programaron $343.654.400 y se comprometieron $282.190.136, los giros alcanzan $168.267.398, lo que indica que una proporción considerable del presupuesto contratado no se ha materializado en pagos efectivos. Esta situación incide en el desarrollo de la formación dirigida a los 140 agentes culturales, pues los laboratorios requieren metodologías especializadas, acompañamiento técnico y recursos específicos cuya implementación depende de una ejecución financiera oportuna.</w:t>
      </w:r>
    </w:p>
    <w:p w:rsidR="00743DA6" w:rsidRDefault="00D95D19">
      <w:pPr>
        <w:spacing w:before="240" w:after="240" w:line="276" w:lineRule="auto"/>
        <w:jc w:val="both"/>
        <w:rPr>
          <w:sz w:val="22"/>
          <w:szCs w:val="22"/>
        </w:rPr>
      </w:pPr>
      <w:r>
        <w:rPr>
          <w:sz w:val="22"/>
          <w:szCs w:val="22"/>
        </w:rPr>
        <w:t>Adicionalmente, el presupuesto proyectado para 2026 se reduce a $230.659.000, es decir, $112.995.540 respecto al año anterior. Esta disminución limita la continuidad de los laboratorios y puede restringir la capacidad para avanzar en los procesos de sofisticación de productos y servicios culturales y creativos. En conjunto, el bajo nivel de giro y el recorte programado constituyen señales que requieren atención, dado que afectan la posibilidad de cumplir con los objetivos de formación y de sostener los resultados esperados en el sector cultural y creativo.</w:t>
      </w:r>
    </w:p>
    <w:p w:rsidR="00743DA6" w:rsidRDefault="00D95D19">
      <w:pPr>
        <w:pStyle w:val="Ttulo1"/>
        <w:keepNext w:val="0"/>
        <w:spacing w:before="480" w:after="120" w:line="276" w:lineRule="auto"/>
        <w:ind w:left="720" w:hanging="360"/>
        <w:jc w:val="both"/>
        <w:rPr>
          <w:rFonts w:ascii="Arial" w:eastAsia="Arial" w:hAnsi="Arial" w:cs="Arial"/>
          <w:sz w:val="22"/>
          <w:szCs w:val="22"/>
        </w:rPr>
      </w:pPr>
      <w:bookmarkStart w:id="16" w:name="_heading=h.on6p5dobnpzp" w:colFirst="0" w:colLast="0"/>
      <w:bookmarkEnd w:id="16"/>
      <w:r>
        <w:rPr>
          <w:rFonts w:ascii="Arial" w:eastAsia="Arial" w:hAnsi="Arial" w:cs="Arial"/>
          <w:sz w:val="22"/>
          <w:szCs w:val="22"/>
        </w:rPr>
        <w:t>3. Meta 2094: Beneficiar a 297.585 Niñas, niños, adolescentes y jóvenes en educación inicial básica y media a través de procesos de formación digital, cultural, artística, patrimonial, deportiva y cultura ciudadana:</w:t>
      </w:r>
    </w:p>
    <w:p w:rsidR="00743DA6" w:rsidRDefault="00D95D19">
      <w:pPr>
        <w:numPr>
          <w:ilvl w:val="0"/>
          <w:numId w:val="13"/>
        </w:numPr>
        <w:spacing w:line="276" w:lineRule="auto"/>
        <w:jc w:val="both"/>
        <w:rPr>
          <w:sz w:val="22"/>
          <w:szCs w:val="22"/>
        </w:rPr>
      </w:pPr>
      <w:r>
        <w:rPr>
          <w:sz w:val="22"/>
          <w:szCs w:val="22"/>
        </w:rPr>
        <w:t>Actividad 5: Generar 3 Estrategias para la investigación, el análisis de la información y el fortalecimiento psicosocial (...)</w:t>
      </w:r>
    </w:p>
    <w:p w:rsidR="00743DA6" w:rsidRDefault="00D95D19">
      <w:pPr>
        <w:numPr>
          <w:ilvl w:val="0"/>
          <w:numId w:val="23"/>
        </w:numPr>
        <w:spacing w:line="276" w:lineRule="auto"/>
        <w:jc w:val="both"/>
        <w:rPr>
          <w:sz w:val="22"/>
          <w:szCs w:val="22"/>
        </w:rPr>
      </w:pPr>
      <w:r>
        <w:rPr>
          <w:sz w:val="22"/>
          <w:szCs w:val="22"/>
        </w:rPr>
        <w:t>2025 Programado: $884.551</w:t>
      </w:r>
    </w:p>
    <w:p w:rsidR="00743DA6" w:rsidRDefault="00D95D19">
      <w:pPr>
        <w:numPr>
          <w:ilvl w:val="0"/>
          <w:numId w:val="23"/>
        </w:numPr>
        <w:spacing w:line="276" w:lineRule="auto"/>
        <w:jc w:val="both"/>
        <w:rPr>
          <w:sz w:val="22"/>
          <w:szCs w:val="22"/>
        </w:rPr>
      </w:pPr>
      <w:r>
        <w:rPr>
          <w:sz w:val="22"/>
          <w:szCs w:val="22"/>
        </w:rPr>
        <w:t>2025 Comprometido: $855.699</w:t>
      </w:r>
    </w:p>
    <w:p w:rsidR="00743DA6" w:rsidRDefault="00D95D19">
      <w:pPr>
        <w:numPr>
          <w:ilvl w:val="0"/>
          <w:numId w:val="23"/>
        </w:numPr>
        <w:spacing w:line="276" w:lineRule="auto"/>
        <w:jc w:val="both"/>
        <w:rPr>
          <w:sz w:val="22"/>
          <w:szCs w:val="22"/>
        </w:rPr>
      </w:pPr>
      <w:r>
        <w:rPr>
          <w:sz w:val="22"/>
          <w:szCs w:val="22"/>
        </w:rPr>
        <w:t>2025 Girado: $561.038</w:t>
      </w:r>
    </w:p>
    <w:p w:rsidR="00743DA6" w:rsidRDefault="00D95D19">
      <w:pPr>
        <w:numPr>
          <w:ilvl w:val="0"/>
          <w:numId w:val="23"/>
        </w:numPr>
        <w:spacing w:line="276" w:lineRule="auto"/>
        <w:jc w:val="both"/>
        <w:rPr>
          <w:sz w:val="22"/>
          <w:szCs w:val="22"/>
        </w:rPr>
      </w:pPr>
      <w:r>
        <w:rPr>
          <w:sz w:val="22"/>
          <w:szCs w:val="22"/>
        </w:rPr>
        <w:t>2026 Programado: $792.062</w:t>
      </w:r>
    </w:p>
    <w:p w:rsidR="00743DA6" w:rsidRDefault="00D95D19">
      <w:pPr>
        <w:numPr>
          <w:ilvl w:val="0"/>
          <w:numId w:val="23"/>
        </w:numPr>
        <w:spacing w:after="240" w:line="276" w:lineRule="auto"/>
        <w:jc w:val="both"/>
        <w:rPr>
          <w:sz w:val="22"/>
          <w:szCs w:val="22"/>
        </w:rPr>
      </w:pPr>
      <w:r>
        <w:rPr>
          <w:sz w:val="22"/>
          <w:szCs w:val="22"/>
        </w:rPr>
        <w:t>Variación: –$92.449</w:t>
      </w:r>
    </w:p>
    <w:p w:rsidR="00743DA6" w:rsidRDefault="00D95D19">
      <w:pPr>
        <w:spacing w:before="240" w:after="240" w:line="276" w:lineRule="auto"/>
        <w:jc w:val="both"/>
        <w:rPr>
          <w:sz w:val="22"/>
          <w:szCs w:val="22"/>
        </w:rPr>
      </w:pPr>
      <w:r>
        <w:rPr>
          <w:sz w:val="22"/>
          <w:szCs w:val="22"/>
        </w:rPr>
        <w:t>La Actividad 5 de la meta 2094 presenta una variación presupuestal relevante, ya que combina una ejecución parcial con una disminución en los recursos previstos para 2026. Durante 2025 se programaron $884.551 y se comprometieron $855.699, pero los giros alcanzan únicamente $561.038, lo que evidencia una brecha considerable entre lo contratado y lo efectivamente desembolsado. Esta diferencia incide en la implementación de estrategias de investigación, análisis de información y acompañamiento psicosocial que respaldan la meta de beneficiar a 297.585 niñas, niños, adolescentes y jóvenes.</w:t>
      </w:r>
    </w:p>
    <w:p w:rsidR="00743DA6" w:rsidRDefault="00D95D19">
      <w:pPr>
        <w:spacing w:before="240" w:after="240" w:line="276" w:lineRule="auto"/>
        <w:jc w:val="both"/>
        <w:rPr>
          <w:sz w:val="22"/>
          <w:szCs w:val="22"/>
        </w:rPr>
      </w:pPr>
      <w:r>
        <w:rPr>
          <w:sz w:val="22"/>
          <w:szCs w:val="22"/>
        </w:rPr>
        <w:t>A ello se suma que el presupuesto proyectado para 2026 se reduce a $792.062, es decir, $92.449 respecto al año anterior. Esta disminución restringe la continuidad de los procesos y puede afectar la estabilidad técnica del programa Crea, particularmente en las acciones que requieren sostenibilidad metodológica y operativa para garantizar su cobertura y calidad.</w:t>
      </w:r>
    </w:p>
    <w:p w:rsidR="00743DA6" w:rsidRDefault="00D95D19">
      <w:pPr>
        <w:spacing w:before="240" w:after="240" w:line="276" w:lineRule="auto"/>
        <w:jc w:val="both"/>
        <w:rPr>
          <w:sz w:val="22"/>
          <w:szCs w:val="22"/>
        </w:rPr>
      </w:pPr>
      <w:r>
        <w:rPr>
          <w:sz w:val="22"/>
          <w:szCs w:val="22"/>
        </w:rPr>
        <w:t>4. Meta 1961: Desarrollar 5500 Intervención(es) y actividades artísticas y culturales que promuevan la interrelación de la ciudadanía con el espacio público como un lugar de encuentro convivencia pacífica y transformación social:</w:t>
      </w:r>
    </w:p>
    <w:p w:rsidR="00743DA6" w:rsidRDefault="00D95D19">
      <w:pPr>
        <w:numPr>
          <w:ilvl w:val="0"/>
          <w:numId w:val="41"/>
        </w:numPr>
        <w:spacing w:before="240" w:line="276" w:lineRule="auto"/>
        <w:jc w:val="both"/>
        <w:rPr>
          <w:sz w:val="22"/>
          <w:szCs w:val="22"/>
        </w:rPr>
      </w:pPr>
      <w:r>
        <w:rPr>
          <w:sz w:val="22"/>
          <w:szCs w:val="22"/>
        </w:rPr>
        <w:t>Actividad 3: Realizar 476 Acción(es) asociadas a las prácticas artísticas en el espacio público de la ciudad de manera descentralizada:</w:t>
      </w:r>
    </w:p>
    <w:p w:rsidR="00743DA6" w:rsidRDefault="00D95D19">
      <w:pPr>
        <w:numPr>
          <w:ilvl w:val="0"/>
          <w:numId w:val="41"/>
        </w:numPr>
        <w:spacing w:line="276" w:lineRule="auto"/>
        <w:jc w:val="both"/>
        <w:rPr>
          <w:sz w:val="22"/>
          <w:szCs w:val="22"/>
        </w:rPr>
      </w:pPr>
      <w:r>
        <w:rPr>
          <w:sz w:val="22"/>
          <w:szCs w:val="22"/>
        </w:rPr>
        <w:t>2025 Programado: $21.992</w:t>
      </w:r>
    </w:p>
    <w:p w:rsidR="00743DA6" w:rsidRDefault="00D95D19">
      <w:pPr>
        <w:numPr>
          <w:ilvl w:val="0"/>
          <w:numId w:val="41"/>
        </w:numPr>
        <w:spacing w:line="276" w:lineRule="auto"/>
        <w:jc w:val="both"/>
        <w:rPr>
          <w:sz w:val="22"/>
          <w:szCs w:val="22"/>
        </w:rPr>
      </w:pPr>
      <w:r>
        <w:rPr>
          <w:sz w:val="22"/>
          <w:szCs w:val="22"/>
        </w:rPr>
        <w:t>2025 Comprometido: $21.684</w:t>
      </w:r>
    </w:p>
    <w:p w:rsidR="00743DA6" w:rsidRDefault="00D95D19">
      <w:pPr>
        <w:numPr>
          <w:ilvl w:val="0"/>
          <w:numId w:val="41"/>
        </w:numPr>
        <w:spacing w:line="276" w:lineRule="auto"/>
        <w:jc w:val="both"/>
        <w:rPr>
          <w:sz w:val="22"/>
          <w:szCs w:val="22"/>
        </w:rPr>
      </w:pPr>
      <w:r>
        <w:rPr>
          <w:sz w:val="22"/>
          <w:szCs w:val="22"/>
        </w:rPr>
        <w:t>2025 Girado: $13.991</w:t>
      </w:r>
    </w:p>
    <w:p w:rsidR="00743DA6" w:rsidRDefault="00D95D19">
      <w:pPr>
        <w:numPr>
          <w:ilvl w:val="0"/>
          <w:numId w:val="41"/>
        </w:numPr>
        <w:spacing w:line="276" w:lineRule="auto"/>
        <w:jc w:val="both"/>
        <w:rPr>
          <w:sz w:val="22"/>
          <w:szCs w:val="22"/>
        </w:rPr>
      </w:pPr>
      <w:r>
        <w:rPr>
          <w:sz w:val="22"/>
          <w:szCs w:val="22"/>
        </w:rPr>
        <w:t>2026 Programado: $9.696</w:t>
      </w:r>
    </w:p>
    <w:p w:rsidR="00743DA6" w:rsidRDefault="00D95D19">
      <w:pPr>
        <w:numPr>
          <w:ilvl w:val="0"/>
          <w:numId w:val="41"/>
        </w:numPr>
        <w:spacing w:after="240" w:line="276" w:lineRule="auto"/>
        <w:jc w:val="both"/>
        <w:rPr>
          <w:sz w:val="22"/>
          <w:szCs w:val="22"/>
        </w:rPr>
      </w:pPr>
      <w:r>
        <w:rPr>
          <w:sz w:val="22"/>
          <w:szCs w:val="22"/>
        </w:rPr>
        <w:t>Variación: –$12.296</w:t>
      </w:r>
    </w:p>
    <w:p w:rsidR="00743DA6" w:rsidRDefault="00D95D19">
      <w:pPr>
        <w:spacing w:before="240" w:after="240" w:line="276" w:lineRule="auto"/>
        <w:jc w:val="both"/>
        <w:rPr>
          <w:sz w:val="22"/>
          <w:szCs w:val="22"/>
        </w:rPr>
      </w:pPr>
      <w:r>
        <w:rPr>
          <w:sz w:val="22"/>
          <w:szCs w:val="22"/>
        </w:rPr>
        <w:t>La variación presupuestal de la Actividad 3 de la meta 1961 evidencia una desalineación entre lo programado, lo comprometido y lo girado. Para 2025 se asignaron $21.992, de los cuales se comprometieron $21.684, lo que indica una correspondencia inicial entre la planeación y la contratación. No obstante, los giros ascienden a $13.991, lo que muestra que una porción significativa de los recursos comprometidos no se ha traducido en desembolsos efectivos. Esta diferencia limita la ejecución de las 476 acciones previstas en espacio público, ya que la operación depende de pagos oportunos para cubrir producción, logística y circulación artística.</w:t>
      </w:r>
    </w:p>
    <w:p w:rsidR="00743DA6" w:rsidRDefault="00D95D19">
      <w:pPr>
        <w:spacing w:before="240" w:after="240" w:line="276" w:lineRule="auto"/>
        <w:jc w:val="both"/>
        <w:rPr>
          <w:sz w:val="22"/>
          <w:szCs w:val="22"/>
        </w:rPr>
      </w:pPr>
      <w:r>
        <w:rPr>
          <w:sz w:val="22"/>
          <w:szCs w:val="22"/>
        </w:rPr>
        <w:t>Adicionalmente, el presupuesto programado para 2026 se reduce a $9.696, lo que representa una variación negativa de $12.296 frente a 2025. Esta disminución impacta de manera directa la capacidad operativa del IDARTES para sostener intervenciones artísticas y culturales en el espacio público, dado que dichas acciones requieren recursos para talento humano, movilidad, equipamiento técnico y presencia territorial. Un ajuste de esta magnitud obliga a restringir la frecuencia, la cobertura o el alcance de las actividades, afectando el cumplimiento de los compromisos establecidos en el Plan de Desarrollo.</w:t>
      </w:r>
    </w:p>
    <w:p w:rsidR="00743DA6" w:rsidRDefault="00D95D19">
      <w:pPr>
        <w:spacing w:before="240" w:after="240" w:line="276" w:lineRule="auto"/>
        <w:jc w:val="both"/>
        <w:rPr>
          <w:sz w:val="22"/>
          <w:szCs w:val="22"/>
        </w:rPr>
      </w:pPr>
      <w:r>
        <w:rPr>
          <w:sz w:val="22"/>
          <w:szCs w:val="22"/>
        </w:rPr>
        <w:t>La combinación de un nivel limitado de giros en 2025 y una reducción significativa en el presupuesto proyectado para 2026 plantea desafíos para la sostenibilidad financiera de la meta 1961, que exige continuidad y volumen en la ejecución (5.500 intervenciones y las 476 acciones de esta actividad). Estos movimientos presupuestales señalan la necesidad de revisar las causas de la baja ejecución y de evaluar la consistencia entre las metas físicas y la asignación proyectada para la siguiente vigencia, con el propósito de garantizar la viabilidad operativa y el cumplimiento de los objetivos trazados en el Plan de Desarrollo.</w:t>
      </w:r>
    </w:p>
    <w:p w:rsidR="00743DA6" w:rsidRDefault="00D95D19">
      <w:pPr>
        <w:pBdr>
          <w:top w:val="nil"/>
          <w:left w:val="nil"/>
          <w:bottom w:val="nil"/>
          <w:right w:val="nil"/>
          <w:between w:val="nil"/>
        </w:pBdr>
        <w:spacing w:line="259" w:lineRule="auto"/>
        <w:rPr>
          <w:b/>
          <w:bCs/>
          <w:sz w:val="22"/>
          <w:szCs w:val="22"/>
        </w:rPr>
      </w:pPr>
      <w:r>
        <w:rPr>
          <w:b/>
          <w:bCs/>
          <w:color w:val="000000"/>
          <w:sz w:val="22"/>
          <w:szCs w:val="22"/>
        </w:rPr>
        <w:t>Fundación Gilberto Alzate Avendaño</w:t>
      </w:r>
    </w:p>
    <w:p w:rsidR="00743DA6" w:rsidRDefault="00743DA6">
      <w:pPr>
        <w:pBdr>
          <w:top w:val="nil"/>
          <w:left w:val="nil"/>
          <w:bottom w:val="nil"/>
          <w:right w:val="nil"/>
          <w:between w:val="nil"/>
        </w:pBdr>
        <w:spacing w:line="259" w:lineRule="auto"/>
      </w:pPr>
    </w:p>
    <w:p w:rsidR="00743DA6" w:rsidRDefault="00D95D19">
      <w:pPr>
        <w:spacing w:before="240" w:after="240" w:line="259" w:lineRule="auto"/>
        <w:jc w:val="center"/>
        <w:rPr>
          <w:sz w:val="20"/>
          <w:szCs w:val="20"/>
        </w:rPr>
      </w:pPr>
      <w:r>
        <w:t>Gráfica x: Histórico Presupuestal Fundación Gilberto Alzate (FUGA)</w:t>
      </w:r>
      <w:r>
        <w:rPr>
          <w:noProof/>
          <w:sz w:val="16"/>
          <w:szCs w:val="16"/>
          <w:lang w:val="es-CO"/>
        </w:rPr>
        <w:drawing>
          <wp:inline distT="114300" distB="114300" distL="114300" distR="114300">
            <wp:extent cx="5612130" cy="2755900"/>
            <wp:effectExtent l="0" t="0" r="0" b="0"/>
            <wp:docPr id="212739958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4"/>
                    <a:srcRect/>
                    <a:stretch>
                      <a:fillRect/>
                    </a:stretch>
                  </pic:blipFill>
                  <pic:spPr>
                    <a:xfrm>
                      <a:off x="0" y="0"/>
                      <a:ext cx="5612130" cy="27559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line="259" w:lineRule="auto"/>
        <w:jc w:val="both"/>
        <w:rPr>
          <w:sz w:val="22"/>
          <w:szCs w:val="22"/>
        </w:rPr>
      </w:pPr>
      <w:r>
        <w:rPr>
          <w:sz w:val="22"/>
          <w:szCs w:val="22"/>
        </w:rPr>
        <w:t>La gráfica muestra una trayectoria ascendente en el presupuesto total de la Fundación Gilberto Alzate entre 2022 y 2026. En 2022, la asignación se ubicó en aproximadamente $1,2 millones, aumentando a cerca de $1,5 millones en 2023, lo que corresponde a una variación cercana al 25 %. Para 2024, el presupuesto se estabiliza en torno a $1,6 millones, mientras que en 2025 se registra un incremento más pronunciado, alcanzando alrededor de $2 millones, cifra equivalente a un aumento adicional del 25 %. En 2026, la asignación proyectada asciende a aproximadamente $2,3 millones, lo que representa un crecimiento de cerca del 15 % frente a la vigencia anterior.</w:t>
      </w:r>
    </w:p>
    <w:p w:rsidR="00743DA6" w:rsidRDefault="00D95D19">
      <w:pPr>
        <w:spacing w:before="240" w:after="240" w:line="259" w:lineRule="auto"/>
        <w:jc w:val="both"/>
        <w:rPr>
          <w:sz w:val="22"/>
          <w:szCs w:val="22"/>
        </w:rPr>
      </w:pPr>
      <w:r>
        <w:rPr>
          <w:sz w:val="22"/>
          <w:szCs w:val="22"/>
        </w:rPr>
        <w:t>No obstante, el análisis de desempeño muestra que estos incrementos no se reflejan de manera proporcional en el avance de los proyectos. En 2025 y 2026, los porcentajes de ejecución se mantienen en rangos cercanos al 60–70 %, lo que indica que la ampliación de los recursos no ha generado una mejora sustancial en la capacidad de ejecución ni en la aceleración de los procesos culturales a cargo de la Fundación. Este comportamiento sugiere una distancia entre la disponibilidad presupuestal y el ritmo real de implementación de las actividades programadas.</w:t>
      </w:r>
    </w:p>
    <w:p w:rsidR="00743DA6" w:rsidRDefault="00D95D19">
      <w:pPr>
        <w:spacing w:before="240" w:after="240" w:line="259" w:lineRule="auto"/>
        <w:jc w:val="center"/>
        <w:rPr>
          <w:b/>
          <w:bCs/>
          <w:sz w:val="22"/>
          <w:szCs w:val="22"/>
        </w:rPr>
      </w:pPr>
      <w:r>
        <w:rPr>
          <w:b/>
          <w:bCs/>
          <w:sz w:val="22"/>
          <w:szCs w:val="22"/>
        </w:rPr>
        <w:t>Tabla No. 32. Programación Presupuestal Comparada de FUGA Vigencia 2025 y Proyecto de Presupuesto 2026</w:t>
      </w:r>
    </w:p>
    <w:sdt>
      <w:sdtPr>
        <w:rPr>
          <w:rFonts w:ascii="Arial" w:eastAsia="Arial" w:hAnsi="Arial" w:cs="Arial"/>
          <w:sz w:val="24"/>
          <w:szCs w:val="24"/>
          <w:lang w:val="es" w:eastAsia="es-CO"/>
        </w:rPr>
        <w:tag w:val="goog_rdk_463"/>
        <w:id w:val="2111754786"/>
        <w:lock w:val="contentLocked"/>
      </w:sdtPr>
      <w:sdtEndPr/>
      <w:sdtContent>
        <w:tbl>
          <w:tblPr>
            <w:tblStyle w:val="affffffc"/>
            <w:tblW w:w="8910"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0"/>
            <w:gridCol w:w="1455"/>
            <w:gridCol w:w="1515"/>
            <w:gridCol w:w="1320"/>
            <w:gridCol w:w="1395"/>
            <w:gridCol w:w="855"/>
          </w:tblGrid>
          <w:tr w:rsidR="00743DA6">
            <w:tc>
              <w:tcPr>
                <w:tcW w:w="237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both"/>
                  <w:rPr>
                    <w:b/>
                    <w:bCs/>
                    <w:sz w:val="20"/>
                    <w:szCs w:val="20"/>
                  </w:rPr>
                </w:pPr>
                <w:r>
                  <w:rPr>
                    <w:b/>
                    <w:bCs/>
                    <w:sz w:val="20"/>
                    <w:szCs w:val="20"/>
                  </w:rPr>
                  <w:t>Proyecto Inversión FUGA</w:t>
                </w:r>
              </w:p>
            </w:tc>
            <w:tc>
              <w:tcPr>
                <w:tcW w:w="14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both"/>
                  <w:rPr>
                    <w:b/>
                    <w:bCs/>
                    <w:sz w:val="20"/>
                    <w:szCs w:val="20"/>
                  </w:rPr>
                </w:pPr>
                <w:r>
                  <w:rPr>
                    <w:b/>
                    <w:bCs/>
                    <w:sz w:val="20"/>
                    <w:szCs w:val="20"/>
                  </w:rPr>
                  <w:t xml:space="preserve">Suma de 2025 PROG </w:t>
                </w:r>
              </w:p>
            </w:tc>
            <w:tc>
              <w:tcPr>
                <w:tcW w:w="15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both"/>
                  <w:rPr>
                    <w:b/>
                    <w:bCs/>
                    <w:sz w:val="20"/>
                    <w:szCs w:val="20"/>
                  </w:rPr>
                </w:pPr>
                <w:r>
                  <w:rPr>
                    <w:b/>
                    <w:bCs/>
                    <w:sz w:val="20"/>
                    <w:szCs w:val="20"/>
                  </w:rPr>
                  <w:t>Suma de 2025 COMPROMI</w:t>
                </w:r>
              </w:p>
              <w:p w:rsidR="00743DA6" w:rsidRDefault="00D95D19">
                <w:pPr>
                  <w:jc w:val="both"/>
                  <w:rPr>
                    <w:b/>
                    <w:bCs/>
                    <w:sz w:val="20"/>
                    <w:szCs w:val="20"/>
                  </w:rPr>
                </w:pPr>
                <w:r>
                  <w:rPr>
                    <w:b/>
                    <w:bCs/>
                    <w:sz w:val="20"/>
                    <w:szCs w:val="20"/>
                  </w:rPr>
                  <w:t>SOS</w:t>
                </w:r>
              </w:p>
            </w:tc>
            <w:tc>
              <w:tcPr>
                <w:tcW w:w="132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both"/>
                  <w:rPr>
                    <w:b/>
                    <w:bCs/>
                    <w:sz w:val="20"/>
                    <w:szCs w:val="20"/>
                  </w:rPr>
                </w:pPr>
                <w:r>
                  <w:rPr>
                    <w:b/>
                    <w:bCs/>
                    <w:sz w:val="20"/>
                    <w:szCs w:val="20"/>
                  </w:rPr>
                  <w:t>Suma de 2025 GIROS</w:t>
                </w:r>
              </w:p>
            </w:tc>
            <w:tc>
              <w:tcPr>
                <w:tcW w:w="139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both"/>
                  <w:rPr>
                    <w:b/>
                    <w:bCs/>
                    <w:sz w:val="20"/>
                    <w:szCs w:val="20"/>
                  </w:rPr>
                </w:pPr>
                <w:r>
                  <w:rPr>
                    <w:b/>
                    <w:bCs/>
                    <w:sz w:val="20"/>
                    <w:szCs w:val="20"/>
                  </w:rPr>
                  <w:t xml:space="preserve">Suma de 2026 PROG </w:t>
                </w:r>
              </w:p>
            </w:tc>
            <w:tc>
              <w:tcPr>
                <w:tcW w:w="8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both"/>
                  <w:rPr>
                    <w:b/>
                    <w:bCs/>
                    <w:sz w:val="20"/>
                    <w:szCs w:val="20"/>
                  </w:rPr>
                </w:pPr>
                <w:r>
                  <w:rPr>
                    <w:b/>
                    <w:bCs/>
                    <w:sz w:val="20"/>
                    <w:szCs w:val="20"/>
                  </w:rPr>
                  <w:t xml:space="preserve">Suma de Diferencia PROG </w:t>
                </w:r>
              </w:p>
            </w:tc>
          </w:tr>
          <w:tr w:rsidR="00743DA6">
            <w:trPr>
              <w:trHeight w:val="1140"/>
            </w:trPr>
            <w:tc>
              <w:tcPr>
                <w:tcW w:w="237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Consolidación del Distrito Creativo en el Bronx para la revitalización del centro de la ciudad Bogotá D.C.</w:t>
                </w:r>
              </w:p>
            </w:tc>
            <w:tc>
              <w:tcPr>
                <w:tcW w:w="14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$21.556</w:t>
                </w:r>
              </w:p>
            </w:tc>
            <w:tc>
              <w:tcPr>
                <w:tcW w:w="15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$21.319</w:t>
                </w:r>
              </w:p>
            </w:tc>
            <w:tc>
              <w:tcPr>
                <w:tcW w:w="132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$21.045</w:t>
                </w:r>
              </w:p>
            </w:tc>
            <w:tc>
              <w:tcPr>
                <w:tcW w:w="139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$19.720</w:t>
                </w:r>
              </w:p>
            </w:tc>
            <w:tc>
              <w:tcPr>
                <w:tcW w:w="8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-$1.836</w:t>
                </w:r>
              </w:p>
            </w:tc>
          </w:tr>
          <w:tr w:rsidR="00743DA6">
            <w:tc>
              <w:tcPr>
                <w:tcW w:w="237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Consolidación del ecosistema de la economía cultural y creativa del centro de Bogotá D.C</w:t>
                </w:r>
              </w:p>
              <w:p w:rsidR="00743DA6" w:rsidRDefault="00743DA6">
                <w:pPr>
                  <w:jc w:val="center"/>
                </w:pPr>
              </w:p>
            </w:tc>
            <w:tc>
              <w:tcPr>
                <w:tcW w:w="14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$3.467</w:t>
                </w:r>
              </w:p>
            </w:tc>
            <w:tc>
              <w:tcPr>
                <w:tcW w:w="15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$3.165</w:t>
                </w:r>
              </w:p>
            </w:tc>
            <w:tc>
              <w:tcPr>
                <w:tcW w:w="132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$2.036</w:t>
                </w:r>
              </w:p>
            </w:tc>
            <w:tc>
              <w:tcPr>
                <w:tcW w:w="139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$4.531</w:t>
                </w:r>
              </w:p>
            </w:tc>
            <w:tc>
              <w:tcPr>
                <w:tcW w:w="8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$1.064</w:t>
                </w:r>
              </w:p>
            </w:tc>
          </w:tr>
          <w:tr w:rsidR="00743DA6">
            <w:trPr>
              <w:trHeight w:val="1635"/>
            </w:trPr>
            <w:tc>
              <w:tcPr>
                <w:tcW w:w="237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Fortalecimiento de espacios de transformación cultural, memoria, valoración social y participación incidente en el Centro de la Ciudad Bogotá D.C.</w:t>
                </w:r>
              </w:p>
            </w:tc>
            <w:tc>
              <w:tcPr>
                <w:tcW w:w="14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$3.114</w:t>
                </w:r>
              </w:p>
            </w:tc>
            <w:tc>
              <w:tcPr>
                <w:tcW w:w="15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$2.670</w:t>
                </w:r>
              </w:p>
            </w:tc>
            <w:tc>
              <w:tcPr>
                <w:tcW w:w="132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$1.954</w:t>
                </w:r>
              </w:p>
            </w:tc>
            <w:tc>
              <w:tcPr>
                <w:tcW w:w="139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$2.290</w:t>
                </w:r>
              </w:p>
            </w:tc>
            <w:tc>
              <w:tcPr>
                <w:tcW w:w="8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-$824</w:t>
                </w:r>
              </w:p>
            </w:tc>
          </w:tr>
          <w:tr w:rsidR="00743DA6">
            <w:trPr>
              <w:trHeight w:val="1129"/>
            </w:trPr>
            <w:tc>
              <w:tcPr>
                <w:tcW w:w="237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Fortalecimiento del ecosistema artístico y cultural en el Centro de Bogotá D.C</w:t>
                </w:r>
              </w:p>
            </w:tc>
            <w:tc>
              <w:tcPr>
                <w:tcW w:w="14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$5.891</w:t>
                </w:r>
              </w:p>
            </w:tc>
            <w:tc>
              <w:tcPr>
                <w:tcW w:w="15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$5.004</w:t>
                </w:r>
              </w:p>
            </w:tc>
            <w:tc>
              <w:tcPr>
                <w:tcW w:w="132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$2.610</w:t>
                </w:r>
              </w:p>
            </w:tc>
            <w:tc>
              <w:tcPr>
                <w:tcW w:w="139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$6.330</w:t>
                </w:r>
              </w:p>
            </w:tc>
            <w:tc>
              <w:tcPr>
                <w:tcW w:w="8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$438</w:t>
                </w:r>
              </w:p>
            </w:tc>
          </w:tr>
          <w:tr w:rsidR="00743DA6">
            <w:tc>
              <w:tcPr>
                <w:tcW w:w="237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Fortalecimiento institucional de la FUGA Bogotá D.C.</w:t>
                </w:r>
              </w:p>
              <w:p w:rsidR="00743DA6" w:rsidRDefault="00743DA6">
                <w:pPr>
                  <w:jc w:val="center"/>
                </w:pPr>
              </w:p>
            </w:tc>
            <w:tc>
              <w:tcPr>
                <w:tcW w:w="14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$4.308</w:t>
                </w:r>
              </w:p>
            </w:tc>
            <w:tc>
              <w:tcPr>
                <w:tcW w:w="15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$3.736</w:t>
                </w:r>
              </w:p>
            </w:tc>
            <w:tc>
              <w:tcPr>
                <w:tcW w:w="132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$2.537</w:t>
                </w:r>
              </w:p>
            </w:tc>
            <w:tc>
              <w:tcPr>
                <w:tcW w:w="139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$3.405</w:t>
                </w:r>
              </w:p>
            </w:tc>
            <w:tc>
              <w:tcPr>
                <w:tcW w:w="8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-$903</w:t>
                </w:r>
              </w:p>
            </w:tc>
          </w:tr>
          <w:tr w:rsidR="00743DA6">
            <w:tc>
              <w:tcPr>
                <w:tcW w:w="237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Mantenimiento de los equipamientos de la FUGA para la circulación artística en el Centro de Bogotá D.C.</w:t>
                </w:r>
              </w:p>
              <w:p w:rsidR="00743DA6" w:rsidRDefault="00743DA6">
                <w:pPr>
                  <w:jc w:val="center"/>
                </w:pPr>
              </w:p>
            </w:tc>
            <w:tc>
              <w:tcPr>
                <w:tcW w:w="14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$8.099</w:t>
                </w:r>
              </w:p>
            </w:tc>
            <w:tc>
              <w:tcPr>
                <w:tcW w:w="15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$3.743</w:t>
                </w:r>
              </w:p>
            </w:tc>
            <w:tc>
              <w:tcPr>
                <w:tcW w:w="132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$161</w:t>
                </w:r>
              </w:p>
            </w:tc>
            <w:tc>
              <w:tcPr>
                <w:tcW w:w="139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$734</w:t>
                </w:r>
              </w:p>
            </w:tc>
            <w:tc>
              <w:tcPr>
                <w:tcW w:w="8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D95D19">
                <w:pPr>
                  <w:jc w:val="center"/>
                </w:pPr>
                <w:r>
                  <w:t>-$7.365</w:t>
                </w:r>
              </w:p>
            </w:tc>
          </w:tr>
          <w:tr w:rsidR="00743DA6">
            <w:tc>
              <w:tcPr>
                <w:tcW w:w="237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743DA6">
                <w:pPr>
                  <w:jc w:val="center"/>
                  <w:rPr>
                    <w:b/>
                    <w:bCs/>
                  </w:rPr>
                </w:pPr>
              </w:p>
              <w:p w:rsidR="00743DA6" w:rsidRDefault="00D95D19">
                <w:pPr>
                  <w:jc w:val="center"/>
                  <w:rPr>
                    <w:b/>
                    <w:bCs/>
                  </w:rPr>
                </w:pPr>
                <w:r>
                  <w:rPr>
                    <w:b/>
                    <w:bCs/>
                  </w:rPr>
                  <w:t>Total general</w:t>
                </w:r>
              </w:p>
            </w:tc>
            <w:tc>
              <w:tcPr>
                <w:tcW w:w="14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743DA6">
                <w:pPr>
                  <w:jc w:val="center"/>
                  <w:rPr>
                    <w:b/>
                    <w:bCs/>
                  </w:rPr>
                </w:pPr>
              </w:p>
              <w:p w:rsidR="00743DA6" w:rsidRDefault="00D95D19">
                <w:pPr>
                  <w:jc w:val="center"/>
                  <w:rPr>
                    <w:b/>
                    <w:bCs/>
                  </w:rPr>
                </w:pPr>
                <w:r>
                  <w:rPr>
                    <w:b/>
                    <w:bCs/>
                  </w:rPr>
                  <w:t>$46.439</w:t>
                </w:r>
              </w:p>
            </w:tc>
            <w:tc>
              <w:tcPr>
                <w:tcW w:w="151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743DA6">
                <w:pPr>
                  <w:jc w:val="center"/>
                  <w:rPr>
                    <w:b/>
                    <w:bCs/>
                  </w:rPr>
                </w:pPr>
              </w:p>
              <w:p w:rsidR="00743DA6" w:rsidRDefault="00D95D19">
                <w:pPr>
                  <w:jc w:val="center"/>
                  <w:rPr>
                    <w:b/>
                    <w:bCs/>
                  </w:rPr>
                </w:pPr>
                <w:r>
                  <w:rPr>
                    <w:b/>
                    <w:bCs/>
                  </w:rPr>
                  <w:t>$39.640</w:t>
                </w:r>
              </w:p>
            </w:tc>
            <w:tc>
              <w:tcPr>
                <w:tcW w:w="1320"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743DA6">
                <w:pPr>
                  <w:jc w:val="center"/>
                  <w:rPr>
                    <w:b/>
                    <w:bCs/>
                  </w:rPr>
                </w:pPr>
              </w:p>
              <w:p w:rsidR="00743DA6" w:rsidRDefault="00D95D19">
                <w:pPr>
                  <w:jc w:val="center"/>
                  <w:rPr>
                    <w:b/>
                    <w:bCs/>
                  </w:rPr>
                </w:pPr>
                <w:r>
                  <w:rPr>
                    <w:b/>
                    <w:bCs/>
                  </w:rPr>
                  <w:t>$30.345</w:t>
                </w:r>
              </w:p>
            </w:tc>
            <w:tc>
              <w:tcPr>
                <w:tcW w:w="139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743DA6">
                <w:pPr>
                  <w:jc w:val="center"/>
                  <w:rPr>
                    <w:b/>
                    <w:bCs/>
                  </w:rPr>
                </w:pPr>
              </w:p>
              <w:p w:rsidR="00743DA6" w:rsidRDefault="00D95D19">
                <w:pPr>
                  <w:jc w:val="center"/>
                  <w:rPr>
                    <w:b/>
                    <w:bCs/>
                  </w:rPr>
                </w:pPr>
                <w:r>
                  <w:rPr>
                    <w:b/>
                    <w:bCs/>
                  </w:rPr>
                  <w:t>$37.012,</w:t>
                </w:r>
              </w:p>
            </w:tc>
            <w:tc>
              <w:tcPr>
                <w:tcW w:w="855" w:type="dxa"/>
                <w:tcBorders>
                  <w:top w:val="single" w:sz="7" w:space="0" w:color="000000"/>
                  <w:left w:val="single" w:sz="7" w:space="0" w:color="000000"/>
                  <w:bottom w:val="single" w:sz="7" w:space="0" w:color="000000"/>
                  <w:right w:val="single" w:sz="7" w:space="0" w:color="000000"/>
                </w:tcBorders>
                <w:tcMar>
                  <w:top w:w="0" w:type="dxa"/>
                  <w:left w:w="0" w:type="dxa"/>
                  <w:bottom w:w="0" w:type="dxa"/>
                  <w:right w:w="0" w:type="dxa"/>
                </w:tcMar>
              </w:tcPr>
              <w:p w:rsidR="00743DA6" w:rsidRDefault="00743DA6">
                <w:pPr>
                  <w:jc w:val="center"/>
                  <w:rPr>
                    <w:b/>
                    <w:bCs/>
                  </w:rPr>
                </w:pPr>
              </w:p>
              <w:p w:rsidR="00743DA6" w:rsidRDefault="00D95D19">
                <w:pPr>
                  <w:jc w:val="center"/>
                  <w:rPr>
                    <w:b/>
                    <w:bCs/>
                  </w:rPr>
                </w:pPr>
                <w:r>
                  <w:rPr>
                    <w:b/>
                    <w:bCs/>
                  </w:rPr>
                  <w:t>-$9.426</w:t>
                </w:r>
              </w:p>
            </w:tc>
          </w:tr>
        </w:tbl>
      </w:sdtContent>
    </w:sdt>
    <w:p w:rsidR="00743DA6" w:rsidRDefault="00D95D19">
      <w:pPr>
        <w:spacing w:before="240" w:after="240" w:line="259" w:lineRule="auto"/>
        <w:jc w:val="both"/>
        <w:rPr>
          <w:sz w:val="22"/>
          <w:szCs w:val="22"/>
        </w:rPr>
      </w:pPr>
      <w:r>
        <w:rPr>
          <w:b/>
          <w:bCs/>
          <w:sz w:val="18"/>
          <w:szCs w:val="18"/>
        </w:rPr>
        <w:t>Fuente:</w:t>
      </w:r>
      <w:r>
        <w:rPr>
          <w:sz w:val="18"/>
          <w:szCs w:val="18"/>
        </w:rPr>
        <w:t xml:space="preserve"> Elaboración propia (2025) con base en la información suministrada de la SDH (2025).</w:t>
      </w:r>
    </w:p>
    <w:p w:rsidR="00743DA6" w:rsidRDefault="00D95D19">
      <w:pPr>
        <w:spacing w:before="240" w:after="240" w:line="259" w:lineRule="auto"/>
        <w:jc w:val="both"/>
        <w:rPr>
          <w:sz w:val="22"/>
          <w:szCs w:val="22"/>
        </w:rPr>
      </w:pPr>
      <w:r>
        <w:rPr>
          <w:sz w:val="22"/>
          <w:szCs w:val="22"/>
        </w:rPr>
        <w:t>El análisis de la distribución presupuestal de la FUGA entre 2025 y 2026 muestra una disminución aproximada del 20,2 % en la inversión total, al pasar de $46.439,15 millones en 2025 a $37.012,55 millones en 2026, lo que representa una variación negativa de $9.426,60 millones. El ajuste más notable se ubica en el componente de mantenimiento y equipamiento, que desciende de $8.099,76 millones a $734,26 millones, es decir, una reducción de $7.365,50 millones. Esta variación implica un menor margen para la sostenibilidad técnica de los equipamientos culturales y para la continuidad de iniciativas que dependen de dichos recursos. En contraste, otros componentes muestran comportamientos diferenciados: el presupuesto para la consolidación del Distrito Creativo del Bronx baja de $21.556,9 millones a $19.720,58 millones, mientras que la línea destinada al fortalecimiento del ecosistema cultural del centro aumenta de $3.467,20 millones en 2025 a $4.531,8 millones en 2026, lo que evidencia una priorización de acciones focalizadas en el centro de la ciudad.</w:t>
      </w:r>
    </w:p>
    <w:p w:rsidR="00743DA6" w:rsidRDefault="00D95D19">
      <w:pPr>
        <w:spacing w:before="240" w:after="240" w:line="259" w:lineRule="auto"/>
        <w:jc w:val="both"/>
        <w:rPr>
          <w:sz w:val="22"/>
          <w:szCs w:val="22"/>
        </w:rPr>
      </w:pPr>
      <w:r>
        <w:rPr>
          <w:sz w:val="22"/>
          <w:szCs w:val="22"/>
        </w:rPr>
        <w:t>Este panorama presupuestal sugiere una reducción general en los recursos disponibles, acompañada de incrementos selectivos orientados a la revitalización cultural del centro y al fortalecimiento institucional. La disminución en rubros de alto costo, especialmente los relacionados con equipamiento y mantenimiento, limita la capacidad operativa de la entidad para sostener proyectos y actividades programadas. En este contexto, se vuelve necesario un proceso de reasignación y priorización que permita asegurar la continuidad de las políticas culturales y el impacto previsto en la transformación del centro de Bogotá.</w:t>
      </w:r>
    </w:p>
    <w:p w:rsidR="00743DA6" w:rsidRDefault="00D95D19">
      <w:pPr>
        <w:spacing w:before="240" w:after="240" w:line="259" w:lineRule="auto"/>
        <w:jc w:val="both"/>
        <w:rPr>
          <w:b/>
          <w:bCs/>
          <w:sz w:val="22"/>
          <w:szCs w:val="22"/>
        </w:rPr>
      </w:pPr>
      <w:r>
        <w:rPr>
          <w:b/>
          <w:bCs/>
          <w:sz w:val="22"/>
          <w:szCs w:val="22"/>
        </w:rPr>
        <w:t>Análisis presupuestal de metas y actividades</w:t>
      </w:r>
    </w:p>
    <w:p w:rsidR="00743DA6" w:rsidRDefault="00D95D19">
      <w:pPr>
        <w:spacing w:before="240" w:after="240" w:line="259" w:lineRule="auto"/>
        <w:jc w:val="both"/>
        <w:rPr>
          <w:sz w:val="22"/>
          <w:szCs w:val="22"/>
        </w:rPr>
      </w:pPr>
      <w:r>
        <w:rPr>
          <w:sz w:val="22"/>
          <w:szCs w:val="22"/>
        </w:rPr>
        <w:t>La revisión identificó varias inconsistencias que requieren seguimiento, junto con actividades que en 2025 presentan niveles de ejecución inferiores a los compromisos adquiridos. Asimismo, se observan variaciones relevantes en las inversiones proyectadas para el año siguiente, lo que podría incidir en la continuidad y la efectividad de las intervenciones en el ámbito cultural y creativo de la ciudad.</w:t>
      </w:r>
    </w:p>
    <w:p w:rsidR="00743DA6" w:rsidRDefault="00D95D19">
      <w:pPr>
        <w:numPr>
          <w:ilvl w:val="0"/>
          <w:numId w:val="5"/>
        </w:numPr>
        <w:spacing w:before="240" w:after="480" w:line="259" w:lineRule="auto"/>
        <w:jc w:val="both"/>
        <w:rPr>
          <w:sz w:val="22"/>
          <w:szCs w:val="22"/>
        </w:rPr>
      </w:pPr>
      <w:r>
        <w:rPr>
          <w:sz w:val="22"/>
          <w:szCs w:val="22"/>
        </w:rPr>
        <w:t>Meta 2073: Implementar 18 Plan(es) de acción que promuevan el reconocimiento, la apropiación, el intercambio e innovación en las prácticas artísticas, culturales y patrimoniales de grupos étnicos, etarios y sectores sociales promoviendo la multiculturalidad desde los distintos enfoques.</w:t>
      </w:r>
    </w:p>
    <w:p w:rsidR="00743DA6" w:rsidRDefault="00D95D19">
      <w:pPr>
        <w:spacing w:before="240" w:after="480" w:line="259" w:lineRule="auto"/>
        <w:jc w:val="both"/>
        <w:rPr>
          <w:sz w:val="22"/>
          <w:szCs w:val="22"/>
        </w:rPr>
      </w:pPr>
      <w:r>
        <w:rPr>
          <w:sz w:val="22"/>
          <w:szCs w:val="22"/>
        </w:rPr>
        <w:t>1. 1. Actividad 2:  Implementar el 100 Porciento de las actividades de los planes de acción que promuevan el reconocimiento, apropiación, intercambio e innovación en las prácticas artísticas, culturales y patrimoniales de grupos étnicos, etarios y sectores sociales, promoviendo la multiculturalidad desde los distintos enfoques.</w:t>
      </w:r>
    </w:p>
    <w:p w:rsidR="00743DA6" w:rsidRDefault="00D95D19">
      <w:pPr>
        <w:numPr>
          <w:ilvl w:val="0"/>
          <w:numId w:val="59"/>
        </w:numPr>
        <w:spacing w:before="240" w:line="276" w:lineRule="auto"/>
        <w:jc w:val="both"/>
        <w:rPr>
          <w:sz w:val="22"/>
          <w:szCs w:val="22"/>
        </w:rPr>
      </w:pPr>
      <w:r>
        <w:rPr>
          <w:sz w:val="22"/>
          <w:szCs w:val="22"/>
        </w:rPr>
        <w:t>2025 Programado: $1.733</w:t>
      </w:r>
    </w:p>
    <w:p w:rsidR="00743DA6" w:rsidRDefault="00D95D19">
      <w:pPr>
        <w:numPr>
          <w:ilvl w:val="0"/>
          <w:numId w:val="59"/>
        </w:numPr>
        <w:spacing w:line="276" w:lineRule="auto"/>
        <w:jc w:val="both"/>
        <w:rPr>
          <w:sz w:val="22"/>
          <w:szCs w:val="22"/>
        </w:rPr>
      </w:pPr>
      <w:r>
        <w:rPr>
          <w:sz w:val="22"/>
          <w:szCs w:val="22"/>
        </w:rPr>
        <w:t>2025 Compromisos: $1.553</w:t>
      </w:r>
    </w:p>
    <w:p w:rsidR="00743DA6" w:rsidRDefault="00D95D19">
      <w:pPr>
        <w:numPr>
          <w:ilvl w:val="0"/>
          <w:numId w:val="59"/>
        </w:numPr>
        <w:spacing w:line="276" w:lineRule="auto"/>
        <w:jc w:val="both"/>
        <w:rPr>
          <w:sz w:val="22"/>
          <w:szCs w:val="22"/>
        </w:rPr>
      </w:pPr>
      <w:r>
        <w:rPr>
          <w:sz w:val="22"/>
          <w:szCs w:val="22"/>
        </w:rPr>
        <w:t>2025 Girado: $597</w:t>
      </w:r>
    </w:p>
    <w:p w:rsidR="00743DA6" w:rsidRDefault="00D95D19">
      <w:pPr>
        <w:numPr>
          <w:ilvl w:val="0"/>
          <w:numId w:val="59"/>
        </w:numPr>
        <w:spacing w:line="276" w:lineRule="auto"/>
        <w:jc w:val="both"/>
        <w:rPr>
          <w:sz w:val="22"/>
          <w:szCs w:val="22"/>
        </w:rPr>
      </w:pPr>
      <w:r>
        <w:rPr>
          <w:sz w:val="22"/>
          <w:szCs w:val="22"/>
        </w:rPr>
        <w:t xml:space="preserve">2026 Programado: $2.737 </w:t>
      </w:r>
    </w:p>
    <w:p w:rsidR="00743DA6" w:rsidRDefault="00D95D19">
      <w:pPr>
        <w:numPr>
          <w:ilvl w:val="0"/>
          <w:numId w:val="59"/>
        </w:numPr>
        <w:spacing w:after="240" w:line="276" w:lineRule="auto"/>
        <w:jc w:val="both"/>
        <w:rPr>
          <w:sz w:val="22"/>
          <w:szCs w:val="22"/>
        </w:rPr>
      </w:pPr>
      <w:r>
        <w:rPr>
          <w:sz w:val="22"/>
          <w:szCs w:val="22"/>
        </w:rPr>
        <w:t>Variación 2026 vs 2025: $1.004</w:t>
      </w:r>
    </w:p>
    <w:p w:rsidR="00743DA6" w:rsidRDefault="00D95D19">
      <w:pPr>
        <w:spacing w:before="240" w:after="240" w:line="259" w:lineRule="auto"/>
        <w:jc w:val="both"/>
        <w:rPr>
          <w:sz w:val="22"/>
          <w:szCs w:val="22"/>
        </w:rPr>
      </w:pPr>
      <w:r>
        <w:rPr>
          <w:sz w:val="22"/>
          <w:szCs w:val="22"/>
        </w:rPr>
        <w:t>La meta 2073 presenta indicios de desalineación entre la programación, la contratación y la ejecución. En 2025 se asignaron $1.733 y se comprometieron $1.553, pero los giros ascienden únicamente a $597, lo que refleja un nivel de ejecución limitado frente a los acuerdos establecidos. Esta situación afecta el cumplimiento de los planes de acción dirigidos a grupos étnicos, etarios y sectores sociales, cuya implementación requiere continuidad operativa y desembolsos oportunos.</w:t>
      </w:r>
    </w:p>
    <w:p w:rsidR="00743DA6" w:rsidRDefault="00D95D19">
      <w:pPr>
        <w:spacing w:before="240" w:after="240" w:line="259" w:lineRule="auto"/>
        <w:jc w:val="both"/>
        <w:rPr>
          <w:sz w:val="22"/>
          <w:szCs w:val="22"/>
        </w:rPr>
      </w:pPr>
      <w:r>
        <w:rPr>
          <w:sz w:val="22"/>
          <w:szCs w:val="22"/>
        </w:rPr>
        <w:t>Por otro lado, para 2026 se proyectan $2.737, es decir, $1.004 adicionales respecto a 2025. No obstante, este aumento contrasta con la variación global negativa de –$112.995.540 en el conjunto presupuestal, lo que introduce inconsistencias entre la magnitud del recorte general y la ampliación de esta meta específica. Esta combinación sugiere riesgos para la sostenibilidad del financiamiento y para la coherencia de la planeación anual.</w:t>
      </w:r>
    </w:p>
    <w:p w:rsidR="00743DA6" w:rsidRDefault="00D95D19">
      <w:pPr>
        <w:spacing w:before="240" w:after="480" w:line="259" w:lineRule="auto"/>
        <w:jc w:val="both"/>
        <w:rPr>
          <w:sz w:val="22"/>
          <w:szCs w:val="22"/>
        </w:rPr>
      </w:pPr>
      <w:r>
        <w:rPr>
          <w:sz w:val="22"/>
          <w:szCs w:val="22"/>
        </w:rPr>
        <w:t>Actividades con disminución significativa o irregularidades:</w:t>
      </w:r>
    </w:p>
    <w:p w:rsidR="00743DA6" w:rsidRDefault="00D95D19">
      <w:pPr>
        <w:spacing w:before="240" w:after="480" w:line="259" w:lineRule="auto"/>
        <w:jc w:val="both"/>
        <w:rPr>
          <w:sz w:val="22"/>
          <w:szCs w:val="22"/>
        </w:rPr>
      </w:pPr>
      <w:r>
        <w:rPr>
          <w:sz w:val="22"/>
          <w:szCs w:val="22"/>
        </w:rPr>
        <w:t xml:space="preserve">2. Meta 2161: Adecuar y/o sostener 63 Equipamiento culturales, recreativos y/o deportivos, algunos de ellos en barrios de borde, propiciando espacios de encuentro para las comunidades. </w:t>
      </w:r>
    </w:p>
    <w:p w:rsidR="00743DA6" w:rsidRDefault="00D95D19">
      <w:pPr>
        <w:spacing w:before="240" w:after="480" w:line="259" w:lineRule="auto"/>
        <w:jc w:val="both"/>
        <w:rPr>
          <w:sz w:val="22"/>
          <w:szCs w:val="22"/>
        </w:rPr>
      </w:pPr>
      <w:r>
        <w:rPr>
          <w:sz w:val="22"/>
          <w:szCs w:val="22"/>
        </w:rPr>
        <w:t>1. 2. Actividad 1: 1 - Realizar el 100 Porciento las actividades de mantenimiento físico, técnico y operativo de los equipamientos de la FUGA:</w:t>
      </w:r>
    </w:p>
    <w:p w:rsidR="00743DA6" w:rsidRDefault="00D95D19">
      <w:pPr>
        <w:numPr>
          <w:ilvl w:val="0"/>
          <w:numId w:val="47"/>
        </w:numPr>
        <w:spacing w:before="240" w:line="276" w:lineRule="auto"/>
        <w:jc w:val="both"/>
        <w:rPr>
          <w:sz w:val="22"/>
          <w:szCs w:val="22"/>
        </w:rPr>
      </w:pPr>
      <w:r>
        <w:rPr>
          <w:sz w:val="22"/>
          <w:szCs w:val="22"/>
        </w:rPr>
        <w:t>2025 Programado: $8.100</w:t>
      </w:r>
    </w:p>
    <w:p w:rsidR="00743DA6" w:rsidRDefault="00D95D19">
      <w:pPr>
        <w:numPr>
          <w:ilvl w:val="0"/>
          <w:numId w:val="47"/>
        </w:numPr>
        <w:spacing w:line="276" w:lineRule="auto"/>
        <w:jc w:val="both"/>
        <w:rPr>
          <w:sz w:val="22"/>
          <w:szCs w:val="22"/>
        </w:rPr>
      </w:pPr>
      <w:r>
        <w:rPr>
          <w:sz w:val="22"/>
          <w:szCs w:val="22"/>
        </w:rPr>
        <w:t>2025 Compromisos: $3.744</w:t>
      </w:r>
    </w:p>
    <w:p w:rsidR="00743DA6" w:rsidRDefault="00D95D19">
      <w:pPr>
        <w:numPr>
          <w:ilvl w:val="0"/>
          <w:numId w:val="47"/>
        </w:numPr>
        <w:spacing w:line="276" w:lineRule="auto"/>
        <w:jc w:val="both"/>
        <w:rPr>
          <w:sz w:val="22"/>
          <w:szCs w:val="22"/>
        </w:rPr>
      </w:pPr>
      <w:r>
        <w:rPr>
          <w:sz w:val="22"/>
          <w:szCs w:val="22"/>
        </w:rPr>
        <w:t>2025 Girado: $162</w:t>
      </w:r>
    </w:p>
    <w:p w:rsidR="00743DA6" w:rsidRDefault="00D95D19">
      <w:pPr>
        <w:numPr>
          <w:ilvl w:val="0"/>
          <w:numId w:val="47"/>
        </w:numPr>
        <w:spacing w:line="276" w:lineRule="auto"/>
        <w:jc w:val="both"/>
        <w:rPr>
          <w:sz w:val="22"/>
          <w:szCs w:val="22"/>
        </w:rPr>
      </w:pPr>
      <w:r>
        <w:rPr>
          <w:sz w:val="22"/>
          <w:szCs w:val="22"/>
        </w:rPr>
        <w:t xml:space="preserve">2026 Programado: $734 </w:t>
      </w:r>
    </w:p>
    <w:p w:rsidR="00743DA6" w:rsidRDefault="00D95D19">
      <w:pPr>
        <w:numPr>
          <w:ilvl w:val="0"/>
          <w:numId w:val="47"/>
        </w:numPr>
        <w:spacing w:after="240" w:line="276" w:lineRule="auto"/>
        <w:jc w:val="both"/>
        <w:rPr>
          <w:sz w:val="22"/>
          <w:szCs w:val="22"/>
        </w:rPr>
      </w:pPr>
      <w:r>
        <w:rPr>
          <w:sz w:val="22"/>
          <w:szCs w:val="22"/>
        </w:rPr>
        <w:t>Variación 2026 vs 2025: -$7.365</w:t>
      </w:r>
    </w:p>
    <w:p w:rsidR="00743DA6" w:rsidRDefault="00D95D19">
      <w:pPr>
        <w:spacing w:before="240" w:after="240" w:line="259" w:lineRule="auto"/>
        <w:jc w:val="both"/>
        <w:rPr>
          <w:sz w:val="22"/>
          <w:szCs w:val="22"/>
        </w:rPr>
      </w:pPr>
      <w:r>
        <w:rPr>
          <w:sz w:val="22"/>
          <w:szCs w:val="22"/>
        </w:rPr>
        <w:t>La meta 2161 presenta una desarticulación notable entre la programación, la contratación y la ejecución. Para 2025 se asignaron $8.100, pero únicamente se comprometieron $3.744 y los giros alcanzan $162, cifra que evidencia una ejecución mínima en las acciones destinadas al mantenimiento de los equipamientos de la FUGA. Esta brecha limita la posibilidad de atender de manera oportuna las necesidades operativas de la infraestructura existente.</w:t>
      </w:r>
    </w:p>
    <w:p w:rsidR="00743DA6" w:rsidRDefault="00D95D19">
      <w:pPr>
        <w:spacing w:before="240" w:after="240" w:line="259" w:lineRule="auto"/>
        <w:jc w:val="both"/>
        <w:rPr>
          <w:sz w:val="22"/>
          <w:szCs w:val="22"/>
        </w:rPr>
      </w:pPr>
      <w:r>
        <w:rPr>
          <w:sz w:val="22"/>
          <w:szCs w:val="22"/>
        </w:rPr>
        <w:t>A ello se suma que el presupuesto proyectado para 2026 desciende a $734, lo que representa una variación negativa de –$7.365 respecto a 2025. Esta reducción limita de forma considerable la capacidad para sostener o adecuar los 63 equipamientos asociados a la meta. La combinación de bajo nivel de giros y disminución presupuestal introduce un riesgo significativo para el cumplimiento de las acciones previstas y para la operación básica de los equipamientos culturales, recreativos y deportivos.</w:t>
      </w:r>
    </w:p>
    <w:p w:rsidR="00743DA6" w:rsidRDefault="00D95D19">
      <w:pPr>
        <w:rPr>
          <w:sz w:val="22"/>
          <w:szCs w:val="22"/>
        </w:rPr>
      </w:pPr>
      <w:r>
        <w:rPr>
          <w:sz w:val="22"/>
          <w:szCs w:val="22"/>
        </w:rPr>
        <w:t>3. Meta 1956: Administrar, mantener y/o mejorar  146 Parque(s) y escenarios del sistema de Espacio Público Peatonal y para el Encuentro, propendiendo por generar unas condiciones adecuadas, para el disfrute de los mismos.</w:t>
      </w:r>
    </w:p>
    <w:p w:rsidR="00743DA6" w:rsidRDefault="00743DA6">
      <w:pPr>
        <w:rPr>
          <w:sz w:val="22"/>
          <w:szCs w:val="22"/>
        </w:rPr>
      </w:pPr>
    </w:p>
    <w:p w:rsidR="00743DA6" w:rsidRDefault="00D95D19">
      <w:pPr>
        <w:rPr>
          <w:sz w:val="22"/>
          <w:szCs w:val="22"/>
        </w:rPr>
      </w:pPr>
      <w:r>
        <w:rPr>
          <w:sz w:val="22"/>
          <w:szCs w:val="22"/>
        </w:rPr>
        <w:t>1.3 Actividad 1 - Administrar, mantener o adecuar 146 Parque(s) del sistema del espacio público peatonal para el encuentro:</w:t>
      </w:r>
    </w:p>
    <w:p w:rsidR="00743DA6" w:rsidRDefault="00D95D19">
      <w:pPr>
        <w:numPr>
          <w:ilvl w:val="0"/>
          <w:numId w:val="56"/>
        </w:numPr>
        <w:spacing w:before="240" w:line="276" w:lineRule="auto"/>
        <w:jc w:val="both"/>
        <w:rPr>
          <w:sz w:val="22"/>
          <w:szCs w:val="22"/>
        </w:rPr>
      </w:pPr>
      <w:r>
        <w:rPr>
          <w:sz w:val="22"/>
          <w:szCs w:val="22"/>
        </w:rPr>
        <w:t>2025 Programado: $208.476</w:t>
      </w:r>
    </w:p>
    <w:p w:rsidR="00743DA6" w:rsidRDefault="00D95D19">
      <w:pPr>
        <w:numPr>
          <w:ilvl w:val="0"/>
          <w:numId w:val="56"/>
        </w:numPr>
        <w:spacing w:line="276" w:lineRule="auto"/>
        <w:jc w:val="both"/>
        <w:rPr>
          <w:sz w:val="22"/>
          <w:szCs w:val="22"/>
        </w:rPr>
      </w:pPr>
      <w:r>
        <w:rPr>
          <w:sz w:val="22"/>
          <w:szCs w:val="22"/>
        </w:rPr>
        <w:t>2025 Compromisos: $150.848</w:t>
      </w:r>
    </w:p>
    <w:p w:rsidR="00743DA6" w:rsidRDefault="00D95D19">
      <w:pPr>
        <w:numPr>
          <w:ilvl w:val="0"/>
          <w:numId w:val="56"/>
        </w:numPr>
        <w:spacing w:line="276" w:lineRule="auto"/>
        <w:jc w:val="both"/>
        <w:rPr>
          <w:sz w:val="22"/>
          <w:szCs w:val="22"/>
        </w:rPr>
      </w:pPr>
      <w:r>
        <w:rPr>
          <w:sz w:val="22"/>
          <w:szCs w:val="22"/>
        </w:rPr>
        <w:t>2025 Girado: $68.685</w:t>
      </w:r>
    </w:p>
    <w:p w:rsidR="00743DA6" w:rsidRDefault="00D95D19">
      <w:pPr>
        <w:numPr>
          <w:ilvl w:val="0"/>
          <w:numId w:val="56"/>
        </w:numPr>
        <w:spacing w:line="276" w:lineRule="auto"/>
        <w:jc w:val="both"/>
        <w:rPr>
          <w:sz w:val="22"/>
          <w:szCs w:val="22"/>
        </w:rPr>
      </w:pPr>
      <w:r>
        <w:rPr>
          <w:sz w:val="22"/>
          <w:szCs w:val="22"/>
        </w:rPr>
        <w:t>2026 Programado: $185.492</w:t>
      </w:r>
    </w:p>
    <w:p w:rsidR="00743DA6" w:rsidRDefault="00D95D19">
      <w:pPr>
        <w:numPr>
          <w:ilvl w:val="0"/>
          <w:numId w:val="56"/>
        </w:numPr>
        <w:spacing w:after="240" w:line="276" w:lineRule="auto"/>
        <w:jc w:val="both"/>
        <w:rPr>
          <w:sz w:val="22"/>
          <w:szCs w:val="22"/>
        </w:rPr>
      </w:pPr>
      <w:r>
        <w:rPr>
          <w:sz w:val="22"/>
          <w:szCs w:val="22"/>
        </w:rPr>
        <w:t>Variación 2026 vs 2025: -$22.984</w:t>
      </w:r>
    </w:p>
    <w:p w:rsidR="00743DA6" w:rsidRDefault="00D95D19">
      <w:pPr>
        <w:spacing w:before="240" w:after="240" w:line="276" w:lineRule="auto"/>
        <w:jc w:val="both"/>
        <w:rPr>
          <w:sz w:val="22"/>
          <w:szCs w:val="22"/>
        </w:rPr>
      </w:pPr>
      <w:r>
        <w:rPr>
          <w:sz w:val="22"/>
          <w:szCs w:val="22"/>
        </w:rPr>
        <w:t>La meta 1956 presenta una brecha considerable entre la programación, la contratación y la ejecución. En 2025 se asignaron $208.476 y se comprometieron $150.848, pero los giros ascienden únicamente a $68.685, lo que indica un nivel de ejecución reducido en las acciones previstas para el mantenimiento de los 146 parques asociados a la meta. Esta diferencia limita la capacidad de realizar intervenciones continuas y adecuadas en la infraestructura del espacio público.</w:t>
      </w:r>
    </w:p>
    <w:p w:rsidR="00743DA6" w:rsidRDefault="00D95D19">
      <w:pPr>
        <w:spacing w:before="240" w:after="240" w:line="276" w:lineRule="auto"/>
        <w:jc w:val="both"/>
        <w:rPr>
          <w:sz w:val="22"/>
          <w:szCs w:val="22"/>
        </w:rPr>
      </w:pPr>
      <w:r>
        <w:rPr>
          <w:sz w:val="22"/>
          <w:szCs w:val="22"/>
        </w:rPr>
        <w:t>Además, el presupuesto proyectado para 2026 desciende a $185.492, equivalente a una variación negativa de –$22.984 frente a la vigencia anterior. Esta disminución restringe el margen operativo para ejecutar mejoras, adecuaciones y labores de administración permanente. La combinación de giros limitados y reducción presupuestal afecta la sostenibilidad de las intervenciones y la posibilidad de garantizar condiciones adecuadas en el sistema de espacio público peatonal.</w:t>
      </w:r>
    </w:p>
    <w:p w:rsidR="00743DA6" w:rsidRDefault="00743DA6">
      <w:pPr>
        <w:rPr>
          <w:sz w:val="22"/>
          <w:szCs w:val="22"/>
        </w:rPr>
      </w:pPr>
    </w:p>
    <w:p w:rsidR="00743DA6" w:rsidRDefault="00D95D19">
      <w:pPr>
        <w:rPr>
          <w:b/>
          <w:bCs/>
          <w:sz w:val="22"/>
          <w:szCs w:val="22"/>
        </w:rPr>
      </w:pPr>
      <w:r>
        <w:rPr>
          <w:b/>
          <w:bCs/>
          <w:sz w:val="22"/>
          <w:szCs w:val="22"/>
        </w:rPr>
        <w:t>Secretaría Distrital de Desarrollo Económico</w:t>
      </w:r>
    </w:p>
    <w:p w:rsidR="00743DA6" w:rsidRDefault="00743DA6">
      <w:pPr>
        <w:rPr>
          <w:sz w:val="22"/>
          <w:szCs w:val="22"/>
        </w:rPr>
      </w:pPr>
    </w:p>
    <w:p w:rsidR="00743DA6" w:rsidRDefault="00D95D19">
      <w:pPr>
        <w:shd w:val="clear" w:color="auto" w:fill="FFFFFF"/>
        <w:spacing w:before="240" w:after="240" w:line="276" w:lineRule="auto"/>
        <w:jc w:val="both"/>
        <w:rPr>
          <w:color w:val="0F1115"/>
          <w:sz w:val="22"/>
          <w:szCs w:val="22"/>
          <w:highlight w:val="white"/>
        </w:rPr>
      </w:pPr>
      <w:r>
        <w:rPr>
          <w:color w:val="0F1115"/>
          <w:sz w:val="22"/>
          <w:szCs w:val="22"/>
          <w:highlight w:val="white"/>
        </w:rPr>
        <w:t>Entre 2022 y 2024, el presupuesto inicial de la SDDE registra una reducción del 37,5 %, al pasar de $268.425 millones a $167.729 millones. Para 2025 y 2026 se proyecta un incremento que ubica la asignación por encima de los $216.000 millones, aunque este aumento coincide con una disminución marcada en la ejecución por giros. Mientras que entre 2022 y 2024 la entidad comprometió entre el 95 % y el 97 % del presupuesto y giró entre el 68 % y el 89 %, en 2025 los giros descienden al 47,6 %, indicando la presencia de restricciones en la capacidad de ejecutar los recursos disponibles.</w:t>
      </w:r>
    </w:p>
    <w:p w:rsidR="00743DA6" w:rsidRDefault="00D95D19">
      <w:pPr>
        <w:shd w:val="clear" w:color="auto" w:fill="FFFFFF"/>
        <w:spacing w:before="240" w:after="240" w:line="276" w:lineRule="auto"/>
        <w:jc w:val="both"/>
        <w:rPr>
          <w:color w:val="0F1115"/>
          <w:sz w:val="22"/>
          <w:szCs w:val="22"/>
          <w:highlight w:val="white"/>
        </w:rPr>
      </w:pPr>
      <w:r>
        <w:rPr>
          <w:color w:val="0F1115"/>
          <w:sz w:val="22"/>
          <w:szCs w:val="22"/>
          <w:highlight w:val="white"/>
        </w:rPr>
        <w:t>De manera paralela, se aprecia una modificación en la estructura del gasto. La inversión directa, que en 2022 representaba el 89,3 % del total, se reduce al 78,2 % para 2026, mientras que el gasto de funcionamiento aumenta del 10,7 % al 21,8 % en el mismo periodo. Esta variación señala un ajuste en la configuración interna del presupuesto y redefine el peso relativo de las actividades operativas y de inversión dentro de la Secretaría.</w:t>
      </w:r>
    </w:p>
    <w:p w:rsidR="00743DA6" w:rsidRDefault="00D95D19">
      <w:pPr>
        <w:shd w:val="clear" w:color="auto" w:fill="FFFFFF"/>
        <w:spacing w:before="240" w:after="240" w:line="276" w:lineRule="auto"/>
        <w:jc w:val="center"/>
        <w:rPr>
          <w:color w:val="0F1115"/>
          <w:sz w:val="22"/>
          <w:szCs w:val="22"/>
          <w:highlight w:val="white"/>
        </w:rPr>
      </w:pPr>
      <w:r>
        <w:rPr>
          <w:color w:val="0F1115"/>
          <w:sz w:val="22"/>
          <w:szCs w:val="22"/>
          <w:highlight w:val="white"/>
        </w:rPr>
        <w:t xml:space="preserve">Gráfica. Histórico de la Secretaría de Desarrollo Económico </w:t>
      </w:r>
      <w:r>
        <w:rPr>
          <w:noProof/>
          <w:lang w:val="es-CO"/>
        </w:rPr>
        <w:drawing>
          <wp:anchor distT="114300" distB="114300" distL="114300" distR="114300" simplePos="0" relativeHeight="251658240" behindDoc="0" locked="0" layoutInCell="1" hidden="0" allowOverlap="1">
            <wp:simplePos x="0" y="0"/>
            <wp:positionH relativeFrom="column">
              <wp:posOffset>695325</wp:posOffset>
            </wp:positionH>
            <wp:positionV relativeFrom="paragraph">
              <wp:posOffset>323850</wp:posOffset>
            </wp:positionV>
            <wp:extent cx="4049078" cy="2894162"/>
            <wp:effectExtent l="0" t="0" r="0" b="0"/>
            <wp:wrapTopAndBottom distT="114300" distB="114300"/>
            <wp:docPr id="212739958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5"/>
                    <a:srcRect/>
                    <a:stretch>
                      <a:fillRect/>
                    </a:stretch>
                  </pic:blipFill>
                  <pic:spPr>
                    <a:xfrm>
                      <a:off x="0" y="0"/>
                      <a:ext cx="4049078" cy="2894162"/>
                    </a:xfrm>
                    <a:prstGeom prst="rect">
                      <a:avLst/>
                    </a:prstGeom>
                    <a:ln/>
                  </pic:spPr>
                </pic:pic>
              </a:graphicData>
            </a:graphic>
          </wp:anchor>
        </w:drawing>
      </w:r>
    </w:p>
    <w:p w:rsidR="00743DA6" w:rsidRDefault="00D95D19">
      <w:pPr>
        <w:spacing w:before="240" w:after="240" w:line="259" w:lineRule="auto"/>
        <w:jc w:val="both"/>
        <w:rPr>
          <w:color w:val="0F1115"/>
          <w:sz w:val="22"/>
          <w:szCs w:val="22"/>
          <w:highlight w:val="white"/>
        </w:rPr>
      </w:pPr>
      <w:r>
        <w:rPr>
          <w:sz w:val="18"/>
          <w:szCs w:val="18"/>
        </w:rPr>
        <w:t>Fuente: Elaboración propia (2025) con base en la matriz comparativa de la SDH (2025).</w:t>
      </w:r>
    </w:p>
    <w:p w:rsidR="00743DA6" w:rsidRDefault="00D95D19">
      <w:pPr>
        <w:shd w:val="clear" w:color="auto" w:fill="FFFFFF"/>
        <w:spacing w:before="240" w:after="240" w:line="276" w:lineRule="auto"/>
        <w:jc w:val="both"/>
        <w:rPr>
          <w:color w:val="0F1115"/>
          <w:sz w:val="22"/>
          <w:szCs w:val="22"/>
          <w:highlight w:val="white"/>
        </w:rPr>
      </w:pPr>
      <w:r>
        <w:rPr>
          <w:color w:val="0F1115"/>
          <w:sz w:val="22"/>
          <w:szCs w:val="22"/>
          <w:highlight w:val="white"/>
        </w:rPr>
        <w:t>Tal como se observa en la gráfica, entre 2022 y 2024, el presupuesto inicial de la SDDE registra una reducción del 37,5 %, al pasar de $268.425 millones a $167.729 millones. Para 2025 y 2026 se proyecta un incremento que ubica la asignación por encima de los $216.000 millones; sin embargo, este repunte coincide con una caída notable en los niveles de ejecución. Mientras que entre 2022 y 2024 la entidad comprometió entre el 95 % y el 97 % del presupuesto y giró entre el 68 % y el 89 %, en 2025 los giros se sitúan en 47,6 %, reflejando una brecha significativa entre lo contratado y lo efectivamente desembolsado.</w:t>
      </w:r>
    </w:p>
    <w:p w:rsidR="00743DA6" w:rsidRDefault="00D95D19">
      <w:pPr>
        <w:shd w:val="clear" w:color="auto" w:fill="FFFFFF"/>
        <w:spacing w:before="240" w:after="240" w:line="276" w:lineRule="auto"/>
        <w:jc w:val="both"/>
        <w:rPr>
          <w:color w:val="0F1115"/>
          <w:sz w:val="22"/>
          <w:szCs w:val="22"/>
          <w:highlight w:val="white"/>
        </w:rPr>
      </w:pPr>
      <w:r>
        <w:rPr>
          <w:color w:val="0F1115"/>
          <w:sz w:val="22"/>
          <w:szCs w:val="22"/>
          <w:highlight w:val="white"/>
        </w:rPr>
        <w:t>De forma paralela, se identifican variaciones en la estructura interna del gasto. La inversión directa, que en 2022 representaba el 89,3 % del total asignado, disminuye al 78,2 % para 2026, mientras que el gasto de funcionamiento incrementa su participación del 10,7 % al 21,8 % en el mismo periodo. Este movimiento indica una recomposición del presupuesto que modifica el peso relativo entre las actividades de inversión y los requerimientos operativos de la Secretaría.</w:t>
      </w:r>
    </w:p>
    <w:p w:rsidR="00743DA6" w:rsidRDefault="00D95D19">
      <w:pPr>
        <w:shd w:val="clear" w:color="auto" w:fill="FFFFFF"/>
        <w:spacing w:before="240" w:after="240" w:line="276" w:lineRule="auto"/>
        <w:jc w:val="center"/>
        <w:rPr>
          <w:color w:val="0F1115"/>
          <w:sz w:val="22"/>
          <w:szCs w:val="22"/>
          <w:highlight w:val="white"/>
        </w:rPr>
      </w:pPr>
      <w:r>
        <w:rPr>
          <w:b/>
          <w:bCs/>
          <w:color w:val="0F1115"/>
          <w:sz w:val="22"/>
          <w:szCs w:val="22"/>
          <w:highlight w:val="white"/>
        </w:rPr>
        <w:t>Tabla No. 33.</w:t>
      </w:r>
      <w:r>
        <w:rPr>
          <w:color w:val="0F1115"/>
          <w:sz w:val="22"/>
          <w:szCs w:val="22"/>
          <w:highlight w:val="white"/>
        </w:rPr>
        <w:t xml:space="preserve"> Proyectos de inversión Secretaría de Desarrollo Económico</w:t>
      </w:r>
    </w:p>
    <w:tbl>
      <w:tblPr>
        <w:tblStyle w:val="affffffd"/>
        <w:tblW w:w="8970" w:type="dxa"/>
        <w:tblInd w:w="45" w:type="dxa"/>
        <w:tblBorders>
          <w:top w:val="nil"/>
          <w:left w:val="nil"/>
          <w:bottom w:val="nil"/>
          <w:right w:val="nil"/>
          <w:insideH w:val="nil"/>
          <w:insideV w:val="nil"/>
        </w:tblBorders>
        <w:tblLayout w:type="fixed"/>
        <w:tblLook w:val="0600" w:firstRow="0" w:lastRow="0" w:firstColumn="0" w:lastColumn="0" w:noHBand="1" w:noVBand="1"/>
      </w:tblPr>
      <w:tblGrid>
        <w:gridCol w:w="2205"/>
        <w:gridCol w:w="1395"/>
        <w:gridCol w:w="1485"/>
        <w:gridCol w:w="1215"/>
        <w:gridCol w:w="1380"/>
        <w:gridCol w:w="1290"/>
      </w:tblGrid>
      <w:tr w:rsidR="00743DA6">
        <w:trPr>
          <w:trHeight w:val="1582"/>
        </w:trPr>
        <w:tc>
          <w:tcPr>
            <w:tcW w:w="22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before="240" w:after="240" w:line="276" w:lineRule="auto"/>
              <w:rPr>
                <w:rFonts w:ascii="Arial" w:eastAsia="Arial" w:hAnsi="Arial" w:cs="Arial"/>
                <w:sz w:val="18"/>
                <w:szCs w:val="18"/>
              </w:rPr>
            </w:pPr>
            <w:r>
              <w:rPr>
                <w:rFonts w:ascii="Arial" w:eastAsia="Arial" w:hAnsi="Arial" w:cs="Arial"/>
                <w:b/>
                <w:bCs/>
                <w:sz w:val="18"/>
                <w:szCs w:val="18"/>
              </w:rPr>
              <w:t xml:space="preserve">Proyectos de Inversión </w:t>
            </w:r>
          </w:p>
        </w:tc>
        <w:tc>
          <w:tcPr>
            <w:tcW w:w="139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before="240" w:after="240" w:line="276" w:lineRule="auto"/>
              <w:rPr>
                <w:rFonts w:ascii="Arial" w:eastAsia="Arial" w:hAnsi="Arial" w:cs="Arial"/>
                <w:sz w:val="16"/>
                <w:szCs w:val="16"/>
              </w:rPr>
            </w:pPr>
            <w:r>
              <w:rPr>
                <w:rFonts w:ascii="Arial" w:eastAsia="Arial" w:hAnsi="Arial" w:cs="Arial"/>
                <w:b/>
                <w:bCs/>
                <w:sz w:val="16"/>
                <w:szCs w:val="16"/>
              </w:rPr>
              <w:t>COMPROMISOS 2025</w:t>
            </w:r>
          </w:p>
        </w:tc>
        <w:tc>
          <w:tcPr>
            <w:tcW w:w="14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before="240" w:after="240" w:line="276" w:lineRule="auto"/>
              <w:rPr>
                <w:rFonts w:ascii="Arial" w:eastAsia="Arial" w:hAnsi="Arial" w:cs="Arial"/>
                <w:sz w:val="16"/>
                <w:szCs w:val="16"/>
              </w:rPr>
            </w:pPr>
            <w:r>
              <w:rPr>
                <w:rFonts w:ascii="Arial" w:eastAsia="Arial" w:hAnsi="Arial" w:cs="Arial"/>
                <w:b/>
                <w:bCs/>
                <w:sz w:val="16"/>
                <w:szCs w:val="16"/>
              </w:rPr>
              <w:t>GIROS 2025</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rPr>
                <w:b/>
                <w:bCs/>
                <w:sz w:val="18"/>
                <w:szCs w:val="18"/>
              </w:rPr>
            </w:pPr>
            <w:r>
              <w:rPr>
                <w:b/>
                <w:bCs/>
                <w:sz w:val="18"/>
                <w:szCs w:val="18"/>
              </w:rPr>
              <w:t>PROGRAMADO 2025</w:t>
            </w:r>
          </w:p>
          <w:p w:rsidR="00743DA6" w:rsidRDefault="00743DA6">
            <w:pPr>
              <w:spacing w:before="240" w:after="240" w:line="276" w:lineRule="auto"/>
              <w:rPr>
                <w:rFonts w:ascii="Arial" w:eastAsia="Arial" w:hAnsi="Arial" w:cs="Arial"/>
                <w:b/>
                <w:bCs/>
                <w:sz w:val="16"/>
                <w:szCs w:val="16"/>
              </w:rPr>
            </w:pPr>
          </w:p>
        </w:tc>
        <w:tc>
          <w:tcPr>
            <w:tcW w:w="13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rPr>
                <w:b/>
                <w:bCs/>
                <w:sz w:val="18"/>
                <w:szCs w:val="18"/>
              </w:rPr>
            </w:pPr>
            <w:r>
              <w:rPr>
                <w:b/>
                <w:bCs/>
                <w:sz w:val="18"/>
                <w:szCs w:val="18"/>
              </w:rPr>
              <w:t>PROGRAMADO 2026</w:t>
            </w:r>
          </w:p>
          <w:p w:rsidR="00743DA6" w:rsidRDefault="00743DA6">
            <w:pPr>
              <w:spacing w:before="240" w:after="240" w:line="276" w:lineRule="auto"/>
              <w:rPr>
                <w:rFonts w:ascii="Arial" w:eastAsia="Arial" w:hAnsi="Arial" w:cs="Arial"/>
                <w:b/>
                <w:bCs/>
                <w:sz w:val="16"/>
                <w:szCs w:val="16"/>
              </w:rPr>
            </w:pPr>
          </w:p>
        </w:tc>
        <w:tc>
          <w:tcPr>
            <w:tcW w:w="129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before="240" w:after="240" w:line="276" w:lineRule="auto"/>
              <w:rPr>
                <w:rFonts w:ascii="Arial" w:eastAsia="Arial" w:hAnsi="Arial" w:cs="Arial"/>
                <w:sz w:val="16"/>
                <w:szCs w:val="16"/>
              </w:rPr>
            </w:pPr>
            <w:r>
              <w:rPr>
                <w:rFonts w:ascii="Arial" w:eastAsia="Arial" w:hAnsi="Arial" w:cs="Arial"/>
                <w:b/>
                <w:bCs/>
                <w:sz w:val="16"/>
                <w:szCs w:val="16"/>
              </w:rPr>
              <w:t xml:space="preserve"> Diferencia 2025-2026</w:t>
            </w:r>
          </w:p>
        </w:tc>
      </w:tr>
      <w:tr w:rsidR="00743DA6">
        <w:trPr>
          <w:trHeight w:val="933"/>
        </w:trPr>
        <w:tc>
          <w:tcPr>
            <w:tcW w:w="22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Fortalecimiento de los negocios locales de la ciudad de Bogotá D.C.</w:t>
            </w:r>
          </w:p>
        </w:tc>
        <w:tc>
          <w:tcPr>
            <w:tcW w:w="139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$ 28.409</w:t>
            </w:r>
          </w:p>
        </w:tc>
        <w:tc>
          <w:tcPr>
            <w:tcW w:w="14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$ 16.456,</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$ 33.916</w:t>
            </w:r>
          </w:p>
        </w:tc>
        <w:tc>
          <w:tcPr>
            <w:tcW w:w="13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36.661</w:t>
            </w:r>
          </w:p>
        </w:tc>
        <w:tc>
          <w:tcPr>
            <w:tcW w:w="129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2.745</w:t>
            </w:r>
          </w:p>
        </w:tc>
      </w:tr>
      <w:tr w:rsidR="00743DA6">
        <w:trPr>
          <w:trHeight w:val="785"/>
        </w:trPr>
        <w:tc>
          <w:tcPr>
            <w:tcW w:w="22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Fortalecimiento de la articulación del ecosistema CTEI, en torno a servicios y equipamientos para el desarrollo de iniciativas que impulsen la productividad y el desarrollo económico de Bogotá D.C.</w:t>
            </w:r>
          </w:p>
        </w:tc>
        <w:tc>
          <w:tcPr>
            <w:tcW w:w="139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$ 13.940,083</w:t>
            </w:r>
          </w:p>
        </w:tc>
        <w:tc>
          <w:tcPr>
            <w:tcW w:w="14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$13.839,564</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$14.364,122</w:t>
            </w:r>
          </w:p>
        </w:tc>
        <w:tc>
          <w:tcPr>
            <w:tcW w:w="13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$ 14.636,845</w:t>
            </w:r>
          </w:p>
        </w:tc>
        <w:tc>
          <w:tcPr>
            <w:tcW w:w="129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w:t>
            </w:r>
            <w:r>
              <w:rPr>
                <w:rFonts w:ascii="Arial" w:eastAsia="Arial" w:hAnsi="Arial" w:cs="Arial"/>
                <w:color w:val="0F1115"/>
                <w:sz w:val="18"/>
                <w:szCs w:val="18"/>
                <w:highlight w:val="white"/>
              </w:rPr>
              <w:tab/>
              <w:t>272,723</w:t>
            </w:r>
          </w:p>
        </w:tc>
      </w:tr>
      <w:tr w:rsidR="00743DA6">
        <w:trPr>
          <w:trHeight w:val="785"/>
        </w:trPr>
        <w:tc>
          <w:tcPr>
            <w:tcW w:w="22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Fortalecimiento de las capacidades institucionales para mejorar la sostenibilidad del sistema integrado de gestión, bajo estándares del MIPG en Bogotá D.C</w:t>
            </w:r>
          </w:p>
        </w:tc>
        <w:tc>
          <w:tcPr>
            <w:tcW w:w="139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$ 4.482,554</w:t>
            </w:r>
          </w:p>
        </w:tc>
        <w:tc>
          <w:tcPr>
            <w:tcW w:w="14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$ 3.041,334</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$4.893,931</w:t>
            </w:r>
          </w:p>
        </w:tc>
        <w:tc>
          <w:tcPr>
            <w:tcW w:w="13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5.095,267</w:t>
            </w:r>
          </w:p>
        </w:tc>
        <w:tc>
          <w:tcPr>
            <w:tcW w:w="129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201,336</w:t>
            </w:r>
          </w:p>
        </w:tc>
      </w:tr>
      <w:tr w:rsidR="00743DA6">
        <w:trPr>
          <w:trHeight w:val="785"/>
        </w:trPr>
        <w:tc>
          <w:tcPr>
            <w:tcW w:w="22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Consolidación del Sistema de Abastecimiento y Distribución de Alimentos de Bogotá D.C</w:t>
            </w:r>
          </w:p>
        </w:tc>
        <w:tc>
          <w:tcPr>
            <w:tcW w:w="139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$6.905,708</w:t>
            </w:r>
          </w:p>
        </w:tc>
        <w:tc>
          <w:tcPr>
            <w:tcW w:w="14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$3.170,093</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$7.602,083</w:t>
            </w:r>
          </w:p>
        </w:tc>
        <w:tc>
          <w:tcPr>
            <w:tcW w:w="13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7.599,711</w:t>
            </w:r>
          </w:p>
        </w:tc>
        <w:tc>
          <w:tcPr>
            <w:tcW w:w="129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2,372</w:t>
            </w:r>
          </w:p>
        </w:tc>
      </w:tr>
      <w:tr w:rsidR="00743DA6">
        <w:trPr>
          <w:trHeight w:val="785"/>
        </w:trPr>
        <w:tc>
          <w:tcPr>
            <w:tcW w:w="22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Diseño de la estrategia para incrementar la productividad del Distrito Aeroportuario de Bogotá D.C.</w:t>
            </w:r>
          </w:p>
        </w:tc>
        <w:tc>
          <w:tcPr>
            <w:tcW w:w="139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$463,790</w:t>
            </w:r>
          </w:p>
        </w:tc>
        <w:tc>
          <w:tcPr>
            <w:tcW w:w="14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$ 202,248</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$ 38,226</w:t>
            </w:r>
          </w:p>
        </w:tc>
        <w:tc>
          <w:tcPr>
            <w:tcW w:w="13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$471,795</w:t>
            </w:r>
          </w:p>
        </w:tc>
        <w:tc>
          <w:tcPr>
            <w:tcW w:w="129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66,431</w:t>
            </w:r>
          </w:p>
        </w:tc>
      </w:tr>
      <w:tr w:rsidR="00743DA6">
        <w:trPr>
          <w:trHeight w:val="785"/>
        </w:trPr>
        <w:tc>
          <w:tcPr>
            <w:tcW w:w="22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Generación y articulación de la información sobre el desarrollo económico de Bogotá D.C.</w:t>
            </w:r>
          </w:p>
        </w:tc>
        <w:tc>
          <w:tcPr>
            <w:tcW w:w="139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$6.148,532</w:t>
            </w:r>
          </w:p>
        </w:tc>
        <w:tc>
          <w:tcPr>
            <w:tcW w:w="14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$2.480,275</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$ 7.272,075</w:t>
            </w:r>
          </w:p>
        </w:tc>
        <w:tc>
          <w:tcPr>
            <w:tcW w:w="13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$7.060,750</w:t>
            </w:r>
          </w:p>
        </w:tc>
        <w:tc>
          <w:tcPr>
            <w:tcW w:w="129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-$ 211,325</w:t>
            </w:r>
          </w:p>
        </w:tc>
      </w:tr>
      <w:tr w:rsidR="00743DA6">
        <w:trPr>
          <w:trHeight w:val="785"/>
        </w:trPr>
        <w:tc>
          <w:tcPr>
            <w:tcW w:w="22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Fortalecimiento de los sistemas productivos acorde a la vocación y potencial económico del territorio mediante la reconversión, innovación y diversificación productiva de la Ruralidad de Bogotá D.C.</w:t>
            </w:r>
          </w:p>
        </w:tc>
        <w:tc>
          <w:tcPr>
            <w:tcW w:w="139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$4.238,300</w:t>
            </w:r>
          </w:p>
        </w:tc>
        <w:tc>
          <w:tcPr>
            <w:tcW w:w="14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$ 2.038,561</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$ 4.599,778</w:t>
            </w:r>
          </w:p>
        </w:tc>
        <w:tc>
          <w:tcPr>
            <w:tcW w:w="13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$4.309,313</w:t>
            </w:r>
          </w:p>
        </w:tc>
        <w:tc>
          <w:tcPr>
            <w:tcW w:w="129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-$ 290,465</w:t>
            </w:r>
          </w:p>
        </w:tc>
      </w:tr>
      <w:tr w:rsidR="00743DA6">
        <w:trPr>
          <w:trHeight w:val="785"/>
        </w:trPr>
        <w:tc>
          <w:tcPr>
            <w:tcW w:w="22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Mejoramiento de las capacidades de innovación, productividad e internacionalización del tejido empresarial de Bogotá Región para acceder a mercados locales, regionales e internacionales. Bogotá D.C.</w:t>
            </w:r>
          </w:p>
        </w:tc>
        <w:tc>
          <w:tcPr>
            <w:tcW w:w="139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$ 22.609,760</w:t>
            </w:r>
          </w:p>
        </w:tc>
        <w:tc>
          <w:tcPr>
            <w:tcW w:w="14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$ 7.571,705</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$26.947,030</w:t>
            </w:r>
          </w:p>
        </w:tc>
        <w:tc>
          <w:tcPr>
            <w:tcW w:w="13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$ 24.715,840</w:t>
            </w:r>
          </w:p>
        </w:tc>
        <w:tc>
          <w:tcPr>
            <w:tcW w:w="129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w:t>
            </w:r>
            <w:r>
              <w:rPr>
                <w:rFonts w:ascii="Arial" w:eastAsia="Arial" w:hAnsi="Arial" w:cs="Arial"/>
                <w:color w:val="0F1115"/>
                <w:sz w:val="18"/>
                <w:szCs w:val="18"/>
                <w:highlight w:val="white"/>
              </w:rPr>
              <w:tab/>
              <w:t>2.231,190</w:t>
            </w:r>
          </w:p>
        </w:tc>
      </w:tr>
      <w:tr w:rsidR="00743DA6">
        <w:trPr>
          <w:trHeight w:val="785"/>
        </w:trPr>
        <w:tc>
          <w:tcPr>
            <w:tcW w:w="22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Fortalecimiento de la capacidad administrativa y técnica de la SDDE para afrontar los desafíos institucionales en Bogotá D.C.</w:t>
            </w:r>
          </w:p>
        </w:tc>
        <w:tc>
          <w:tcPr>
            <w:tcW w:w="139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$16.013,403</w:t>
            </w:r>
          </w:p>
        </w:tc>
        <w:tc>
          <w:tcPr>
            <w:tcW w:w="14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$ 10.035,914</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$25.842,892</w:t>
            </w:r>
          </w:p>
        </w:tc>
        <w:tc>
          <w:tcPr>
            <w:tcW w:w="13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$20.376,253</w:t>
            </w:r>
          </w:p>
        </w:tc>
        <w:tc>
          <w:tcPr>
            <w:tcW w:w="129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-$ 5.466,639</w:t>
            </w:r>
          </w:p>
        </w:tc>
      </w:tr>
      <w:tr w:rsidR="00743DA6">
        <w:trPr>
          <w:trHeight w:val="679"/>
        </w:trPr>
        <w:tc>
          <w:tcPr>
            <w:tcW w:w="22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Fortalecimiento de la ruta integral de empleo y formación en Bogotá D.C</w:t>
            </w:r>
          </w:p>
        </w:tc>
        <w:tc>
          <w:tcPr>
            <w:tcW w:w="139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$ 51.081,943</w:t>
            </w:r>
          </w:p>
        </w:tc>
        <w:tc>
          <w:tcPr>
            <w:tcW w:w="148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$ 11.835,</w:t>
            </w:r>
          </w:p>
        </w:tc>
        <w:tc>
          <w:tcPr>
            <w:tcW w:w="121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$64.442</w:t>
            </w:r>
          </w:p>
        </w:tc>
        <w:tc>
          <w:tcPr>
            <w:tcW w:w="138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$ 48.649</w:t>
            </w:r>
          </w:p>
        </w:tc>
        <w:tc>
          <w:tcPr>
            <w:tcW w:w="129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-$15.792</w:t>
            </w:r>
          </w:p>
        </w:tc>
      </w:tr>
      <w:tr w:rsidR="00743DA6">
        <w:trPr>
          <w:trHeight w:val="785"/>
        </w:trPr>
        <w:tc>
          <w:tcPr>
            <w:tcW w:w="220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Total general</w:t>
            </w:r>
          </w:p>
        </w:tc>
        <w:tc>
          <w:tcPr>
            <w:tcW w:w="139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$ 154.293</w:t>
            </w:r>
          </w:p>
        </w:tc>
        <w:tc>
          <w:tcPr>
            <w:tcW w:w="148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$ 70.670,</w:t>
            </w:r>
          </w:p>
        </w:tc>
        <w:tc>
          <w:tcPr>
            <w:tcW w:w="1215"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$ 190.418</w:t>
            </w:r>
          </w:p>
        </w:tc>
        <w:tc>
          <w:tcPr>
            <w:tcW w:w="1380"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 xml:space="preserve"> $169.576</w:t>
            </w:r>
          </w:p>
        </w:tc>
        <w:tc>
          <w:tcPr>
            <w:tcW w:w="1290" w:type="dxa"/>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spacing w:line="276" w:lineRule="auto"/>
              <w:rPr>
                <w:rFonts w:ascii="Arial" w:eastAsia="Arial" w:hAnsi="Arial" w:cs="Arial"/>
                <w:color w:val="0F1115"/>
                <w:sz w:val="18"/>
                <w:szCs w:val="18"/>
                <w:highlight w:val="white"/>
              </w:rPr>
            </w:pPr>
            <w:r>
              <w:rPr>
                <w:rFonts w:ascii="Arial" w:eastAsia="Arial" w:hAnsi="Arial" w:cs="Arial"/>
                <w:color w:val="0F1115"/>
                <w:sz w:val="18"/>
                <w:szCs w:val="18"/>
                <w:highlight w:val="white"/>
              </w:rPr>
              <w:t>-$20.841,476</w:t>
            </w:r>
          </w:p>
        </w:tc>
      </w:tr>
    </w:tbl>
    <w:p w:rsidR="00743DA6" w:rsidRDefault="00743DA6">
      <w:pPr>
        <w:spacing w:line="276" w:lineRule="auto"/>
        <w:rPr>
          <w:color w:val="0F1115"/>
          <w:highlight w:val="white"/>
        </w:rPr>
      </w:pPr>
    </w:p>
    <w:p w:rsidR="00743DA6" w:rsidRDefault="00D95D19">
      <w:pPr>
        <w:shd w:val="clear" w:color="auto" w:fill="FFFFFF"/>
        <w:spacing w:before="240" w:line="276" w:lineRule="auto"/>
        <w:jc w:val="both"/>
        <w:rPr>
          <w:color w:val="0F1115"/>
          <w:sz w:val="22"/>
          <w:szCs w:val="22"/>
          <w:highlight w:val="white"/>
        </w:rPr>
      </w:pPr>
      <w:r>
        <w:rPr>
          <w:color w:val="0F1115"/>
          <w:sz w:val="22"/>
          <w:szCs w:val="22"/>
          <w:highlight w:val="white"/>
        </w:rPr>
        <w:t>El examen de los programas proyectados para 2026 permite identificar un desplazamiento claro en la orientación presupuestal de la SDDE. Tres líneas concentran los incrementos: Fortalecimiento de los Negocios Locales ( + $2.746 millones; +8,1 %), Articulación del Ecosistema CTEI ( + $273 millones; +1,9 %) y Fortalecimiento de Capacidades Institucionales ( + $201 millones; +4,1 %). Estas variaciones delinean un bloque de intervención que sitúa la reactivación empresarial, la innovación y la gestión institucional como ejes centrales de la política económica.</w:t>
      </w:r>
    </w:p>
    <w:p w:rsidR="00743DA6" w:rsidRDefault="00D95D19">
      <w:pPr>
        <w:shd w:val="clear" w:color="auto" w:fill="FFFFFF"/>
        <w:spacing w:before="240" w:line="276" w:lineRule="auto"/>
        <w:jc w:val="both"/>
        <w:rPr>
          <w:color w:val="0F1115"/>
          <w:sz w:val="22"/>
          <w:szCs w:val="22"/>
          <w:highlight w:val="white"/>
        </w:rPr>
      </w:pPr>
      <w:r>
        <w:rPr>
          <w:color w:val="0F1115"/>
          <w:sz w:val="22"/>
          <w:szCs w:val="22"/>
          <w:highlight w:val="white"/>
        </w:rPr>
        <w:t>En paralelo a este incremento focalizado, otras áreas experimentan ajustes decrecientes. La reducción más pronunciada corresponde a la Ruta Integral de Empleo y Formación, que disminuye en $15.793 millones (–24,5 %), lo que indica un viraje respecto a las estrategias dirigidas a inserción laboral. También presentan descensos el Fortalecimiento de la Capacidad Administrativa (–$5.467 millones; –21,2 %), la Internacionalización del Tejido Empresarial (–$2.231 millones; –8,3 %) y los Sistemas Productivos Rurales (–$290 millones; –6,3 %), redistribuciones que modifican el balance interno de la entidad.</w:t>
      </w:r>
    </w:p>
    <w:p w:rsidR="00743DA6" w:rsidRDefault="00D95D19">
      <w:pPr>
        <w:shd w:val="clear" w:color="auto" w:fill="FFFFFF"/>
        <w:spacing w:before="240" w:line="276" w:lineRule="auto"/>
        <w:jc w:val="both"/>
        <w:rPr>
          <w:color w:val="0F1115"/>
          <w:sz w:val="22"/>
          <w:szCs w:val="22"/>
          <w:highlight w:val="white"/>
        </w:rPr>
      </w:pPr>
      <w:r>
        <w:rPr>
          <w:color w:val="0F1115"/>
          <w:sz w:val="22"/>
          <w:szCs w:val="22"/>
          <w:highlight w:val="white"/>
        </w:rPr>
        <w:t>Si se observan los resultados de ejecución en 2025, el comportamiento de los programas recortados permite entender parte de esta reasignación. La Ruta de Empleo registraba giros equivalentes al 18,4 % del presupuesto a octubre, mientras que Internacionalización Empresarial alcanzaba un 28,1 %. Incluso un programa priorizado para 2026, Negocios Locales, mostraba un avance parcial del 48,5 %. En contraste, la línea del Ecosistema CTEI exhibía giros del 96,3 %, comportamiento que puede haber respaldado su ampliación.</w:t>
      </w:r>
    </w:p>
    <w:p w:rsidR="00743DA6" w:rsidRDefault="00D95D19">
      <w:pPr>
        <w:shd w:val="clear" w:color="auto" w:fill="FFFFFF"/>
        <w:spacing w:before="240" w:line="276" w:lineRule="auto"/>
        <w:jc w:val="both"/>
        <w:rPr>
          <w:color w:val="0F1115"/>
          <w:sz w:val="22"/>
          <w:szCs w:val="22"/>
          <w:highlight w:val="white"/>
        </w:rPr>
      </w:pPr>
      <w:r>
        <w:rPr>
          <w:color w:val="0F1115"/>
          <w:sz w:val="22"/>
          <w:szCs w:val="22"/>
          <w:highlight w:val="white"/>
        </w:rPr>
        <w:t>De esta forma, el presupuesto 2026 refleja un patrón de concentración en innovación, reactivación productiva y capacidad institucional, mientras que se reduce la escala de los programas orientados a empleo, internacionalización y desarrollo rural. La lectura de ejecución sugiere que la entidad enfrenta retos para materializar el gasto en varias de sus líneas, lo que plantea interrogantes sobre las condiciones operativas necesarias para que este reajuste programático logre los resultados esperados.</w:t>
      </w:r>
    </w:p>
    <w:p w:rsidR="00743DA6" w:rsidRDefault="00D95D19">
      <w:pPr>
        <w:shd w:val="clear" w:color="auto" w:fill="FFFFFF"/>
        <w:spacing w:before="240" w:line="276" w:lineRule="auto"/>
        <w:jc w:val="both"/>
        <w:rPr>
          <w:color w:val="0F1115"/>
          <w:sz w:val="22"/>
          <w:szCs w:val="22"/>
          <w:highlight w:val="white"/>
        </w:rPr>
      </w:pPr>
      <w:r>
        <w:rPr>
          <w:b/>
          <w:bCs/>
          <w:color w:val="0F1115"/>
          <w:sz w:val="22"/>
          <w:szCs w:val="22"/>
          <w:highlight w:val="white"/>
        </w:rPr>
        <w:t>Proyectos de inversión</w:t>
      </w:r>
      <w:r>
        <w:rPr>
          <w:color w:val="0F1115"/>
          <w:sz w:val="22"/>
          <w:szCs w:val="22"/>
          <w:highlight w:val="white"/>
        </w:rPr>
        <w:t xml:space="preserve"> </w:t>
      </w:r>
    </w:p>
    <w:p w:rsidR="00743DA6" w:rsidRDefault="00D95D19">
      <w:pPr>
        <w:shd w:val="clear" w:color="auto" w:fill="FFFFFF"/>
        <w:spacing w:before="240" w:line="276" w:lineRule="auto"/>
        <w:jc w:val="both"/>
        <w:rPr>
          <w:color w:val="0F1115"/>
          <w:sz w:val="22"/>
          <w:szCs w:val="22"/>
          <w:highlight w:val="white"/>
        </w:rPr>
      </w:pPr>
      <w:r>
        <w:rPr>
          <w:color w:val="0F1115"/>
          <w:sz w:val="22"/>
          <w:szCs w:val="22"/>
          <w:highlight w:val="white"/>
        </w:rPr>
        <w:t>En este apartado se presentan los proyectos de inversión que requieren seguimiento debido a las variaciones observadas en su programación financiera. Para avanzar de manera ordenada, se examinarán primero aquellos proyectos que, pese a mostrar incrementos globales, registran reducciones internas en varias de sus actividades, lo cual permite identificar ajustes relevantes en la orientación institucional. Posteriormente, se analizarán los proyectos para los cuales se proyecta una disminución presupuestal, a fin de valorar sus implicaciones sobre las necesidades actuales de la ciudad.</w:t>
      </w:r>
    </w:p>
    <w:p w:rsidR="00743DA6" w:rsidRDefault="00D95D19">
      <w:pPr>
        <w:shd w:val="clear" w:color="auto" w:fill="FFFFFF"/>
        <w:spacing w:before="240" w:line="276" w:lineRule="auto"/>
        <w:jc w:val="both"/>
        <w:rPr>
          <w:color w:val="0F1115"/>
          <w:sz w:val="22"/>
          <w:szCs w:val="22"/>
          <w:highlight w:val="white"/>
        </w:rPr>
      </w:pPr>
      <w:r>
        <w:rPr>
          <w:b/>
          <w:bCs/>
          <w:sz w:val="22"/>
          <w:szCs w:val="22"/>
        </w:rPr>
        <w:t xml:space="preserve">Tabla No. 34. </w:t>
      </w:r>
      <w:r>
        <w:rPr>
          <w:b/>
          <w:bCs/>
          <w:color w:val="0F1115"/>
          <w:sz w:val="22"/>
          <w:szCs w:val="22"/>
          <w:highlight w:val="white"/>
        </w:rPr>
        <w:t>Proyecto de Inversión Fortalecimiento de los negocios locales de la ciudad de Bogotá D.C.</w:t>
      </w:r>
    </w:p>
    <w:tbl>
      <w:tblPr>
        <w:tblStyle w:val="affffffe"/>
        <w:tblW w:w="9025" w:type="dxa"/>
        <w:tblBorders>
          <w:top w:val="nil"/>
          <w:left w:val="nil"/>
          <w:bottom w:val="nil"/>
          <w:right w:val="nil"/>
          <w:insideH w:val="nil"/>
          <w:insideV w:val="nil"/>
        </w:tblBorders>
        <w:tblLayout w:type="fixed"/>
        <w:tblLook w:val="0600" w:firstRow="0" w:lastRow="0" w:firstColumn="0" w:lastColumn="0" w:noHBand="1" w:noVBand="1"/>
      </w:tblPr>
      <w:tblGrid>
        <w:gridCol w:w="2592"/>
        <w:gridCol w:w="1690"/>
        <w:gridCol w:w="1690"/>
        <w:gridCol w:w="1567"/>
        <w:gridCol w:w="1486"/>
      </w:tblGrid>
      <w:tr w:rsidR="00743DA6">
        <w:trPr>
          <w:trHeight w:val="885"/>
        </w:trPr>
        <w:tc>
          <w:tcPr>
            <w:tcW w:w="2590" w:type="dxa"/>
            <w:tcBorders>
              <w:top w:val="single" w:sz="5" w:space="0" w:color="000000"/>
              <w:left w:val="single" w:sz="5" w:space="0" w:color="000000"/>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Actividad (y cobertura en número de negocios)</w:t>
            </w:r>
          </w:p>
        </w:tc>
        <w:tc>
          <w:tcPr>
            <w:tcW w:w="1690" w:type="dxa"/>
            <w:tcBorders>
              <w:top w:val="single" w:sz="5" w:space="0" w:color="000000"/>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Presupuesto 2025</w:t>
            </w:r>
          </w:p>
        </w:tc>
        <w:tc>
          <w:tcPr>
            <w:tcW w:w="1690" w:type="dxa"/>
            <w:tcBorders>
              <w:top w:val="single" w:sz="5" w:space="0" w:color="000000"/>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Presupuesto 2026</w:t>
            </w:r>
          </w:p>
        </w:tc>
        <w:tc>
          <w:tcPr>
            <w:tcW w:w="1567" w:type="dxa"/>
            <w:tcBorders>
              <w:top w:val="single" w:sz="5" w:space="0" w:color="000000"/>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Diferencia</w:t>
            </w:r>
          </w:p>
        </w:tc>
        <w:tc>
          <w:tcPr>
            <w:tcW w:w="1486" w:type="dxa"/>
            <w:tcBorders>
              <w:top w:val="single" w:sz="5" w:space="0" w:color="000000"/>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 Cambio</w:t>
            </w:r>
          </w:p>
        </w:tc>
      </w:tr>
      <w:tr w:rsidR="00743DA6">
        <w:trPr>
          <w:trHeight w:val="600"/>
        </w:trPr>
        <w:tc>
          <w:tcPr>
            <w:tcW w:w="2590" w:type="dxa"/>
            <w:tcBorders>
              <w:top w:val="nil"/>
              <w:left w:val="single" w:sz="5" w:space="0" w:color="000000"/>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Apoyar financieramente a 19,339 negocios</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$12,094.5</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$14,211.8</w:t>
            </w:r>
          </w:p>
        </w:tc>
        <w:tc>
          <w:tcPr>
            <w:tcW w:w="1567"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+$2,117.3</w:t>
            </w:r>
          </w:p>
        </w:tc>
        <w:tc>
          <w:tcPr>
            <w:tcW w:w="1486"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+17.5%</w:t>
            </w:r>
          </w:p>
        </w:tc>
      </w:tr>
      <w:tr w:rsidR="00743DA6">
        <w:trPr>
          <w:trHeight w:val="855"/>
        </w:trPr>
        <w:tc>
          <w:tcPr>
            <w:tcW w:w="2590" w:type="dxa"/>
            <w:tcBorders>
              <w:top w:val="nil"/>
              <w:left w:val="single" w:sz="5" w:space="0" w:color="000000"/>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Promover espacios de comercialización para 6,500 negocios</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$4,864.1</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$6,570.9</w:t>
            </w:r>
          </w:p>
        </w:tc>
        <w:tc>
          <w:tcPr>
            <w:tcW w:w="1567"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+$1,706.9</w:t>
            </w:r>
          </w:p>
        </w:tc>
        <w:tc>
          <w:tcPr>
            <w:tcW w:w="1486"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+35.1%</w:t>
            </w:r>
          </w:p>
        </w:tc>
      </w:tr>
      <w:tr w:rsidR="00743DA6">
        <w:trPr>
          <w:trHeight w:val="795"/>
        </w:trPr>
        <w:tc>
          <w:tcPr>
            <w:tcW w:w="2590" w:type="dxa"/>
            <w:tcBorders>
              <w:top w:val="nil"/>
              <w:left w:val="single" w:sz="5" w:space="0" w:color="000000"/>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Fortalecer estrategias de comercialización para 6,500 negocios</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$1,363.1</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$2,819.4</w:t>
            </w:r>
          </w:p>
        </w:tc>
        <w:tc>
          <w:tcPr>
            <w:tcW w:w="1567"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+$1,456.3</w:t>
            </w:r>
          </w:p>
        </w:tc>
        <w:tc>
          <w:tcPr>
            <w:tcW w:w="1486"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+106.8%</w:t>
            </w:r>
          </w:p>
        </w:tc>
      </w:tr>
      <w:tr w:rsidR="00743DA6">
        <w:trPr>
          <w:trHeight w:val="765"/>
        </w:trPr>
        <w:tc>
          <w:tcPr>
            <w:tcW w:w="2590" w:type="dxa"/>
            <w:tcBorders>
              <w:top w:val="nil"/>
              <w:left w:val="single" w:sz="5" w:space="0" w:color="000000"/>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Dar orientación en formalización a 6,400 negocios</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$578.8</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$990.0</w:t>
            </w:r>
          </w:p>
        </w:tc>
        <w:tc>
          <w:tcPr>
            <w:tcW w:w="1567"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+$411.2</w:t>
            </w:r>
          </w:p>
        </w:tc>
        <w:tc>
          <w:tcPr>
            <w:tcW w:w="1486"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+71.0%</w:t>
            </w:r>
          </w:p>
        </w:tc>
      </w:tr>
      <w:tr w:rsidR="00743DA6">
        <w:trPr>
          <w:trHeight w:val="585"/>
        </w:trPr>
        <w:tc>
          <w:tcPr>
            <w:tcW w:w="2590" w:type="dxa"/>
            <w:tcBorders>
              <w:top w:val="nil"/>
              <w:left w:val="single" w:sz="5" w:space="0" w:color="000000"/>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Brindar asistencia técnica a 6,330 negocios</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$1,421.0</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$1,511.3</w:t>
            </w:r>
          </w:p>
        </w:tc>
        <w:tc>
          <w:tcPr>
            <w:tcW w:w="1567"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+$90.3</w:t>
            </w:r>
          </w:p>
        </w:tc>
        <w:tc>
          <w:tcPr>
            <w:tcW w:w="1486"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+6.4%</w:t>
            </w:r>
          </w:p>
        </w:tc>
      </w:tr>
      <w:tr w:rsidR="00743DA6">
        <w:trPr>
          <w:trHeight w:val="570"/>
        </w:trPr>
        <w:tc>
          <w:tcPr>
            <w:tcW w:w="2590" w:type="dxa"/>
            <w:tcBorders>
              <w:top w:val="nil"/>
              <w:left w:val="single" w:sz="5" w:space="0" w:color="000000"/>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Formar a 49,226 negocios</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$2,613.3</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$2,256.1</w:t>
            </w:r>
          </w:p>
        </w:tc>
        <w:tc>
          <w:tcPr>
            <w:tcW w:w="1567"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-$357.2</w:t>
            </w:r>
          </w:p>
        </w:tc>
        <w:tc>
          <w:tcPr>
            <w:tcW w:w="1486"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-13.7%</w:t>
            </w:r>
          </w:p>
        </w:tc>
      </w:tr>
      <w:tr w:rsidR="00743DA6">
        <w:trPr>
          <w:trHeight w:val="915"/>
        </w:trPr>
        <w:tc>
          <w:tcPr>
            <w:tcW w:w="2590" w:type="dxa"/>
            <w:tcBorders>
              <w:top w:val="nil"/>
              <w:left w:val="single" w:sz="5" w:space="0" w:color="000000"/>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Facilitar acceso a financiación a 16,661 negocios</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$6,507.4</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$5,764.9</w:t>
            </w:r>
          </w:p>
        </w:tc>
        <w:tc>
          <w:tcPr>
            <w:tcW w:w="1567"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-$742.5</w:t>
            </w:r>
          </w:p>
        </w:tc>
        <w:tc>
          <w:tcPr>
            <w:tcW w:w="1486"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-11.4%</w:t>
            </w:r>
          </w:p>
        </w:tc>
      </w:tr>
      <w:tr w:rsidR="00743DA6">
        <w:trPr>
          <w:trHeight w:val="1080"/>
        </w:trPr>
        <w:tc>
          <w:tcPr>
            <w:tcW w:w="2590" w:type="dxa"/>
            <w:tcBorders>
              <w:top w:val="nil"/>
              <w:left w:val="single" w:sz="5" w:space="0" w:color="000000"/>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Fortalecer aglomeraciones productivas de 1,374 negocios</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$4,473.9</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$2,537.4</w:t>
            </w:r>
          </w:p>
        </w:tc>
        <w:tc>
          <w:tcPr>
            <w:tcW w:w="1567"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-$1,936.5</w:t>
            </w:r>
          </w:p>
        </w:tc>
        <w:tc>
          <w:tcPr>
            <w:tcW w:w="1486"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-43.3%</w:t>
            </w:r>
          </w:p>
        </w:tc>
      </w:tr>
      <w:tr w:rsidR="00743DA6">
        <w:trPr>
          <w:trHeight w:val="615"/>
        </w:trPr>
        <w:tc>
          <w:tcPr>
            <w:tcW w:w="2590" w:type="dxa"/>
            <w:tcBorders>
              <w:top w:val="nil"/>
              <w:left w:val="single" w:sz="5" w:space="0" w:color="000000"/>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SUMA TOTAL</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$33,915.1</w:t>
            </w:r>
          </w:p>
        </w:tc>
        <w:tc>
          <w:tcPr>
            <w:tcW w:w="1690"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$36,661.8</w:t>
            </w:r>
          </w:p>
        </w:tc>
        <w:tc>
          <w:tcPr>
            <w:tcW w:w="1567"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+$2,746.7</w:t>
            </w:r>
          </w:p>
        </w:tc>
        <w:tc>
          <w:tcPr>
            <w:tcW w:w="1486" w:type="dxa"/>
            <w:tcBorders>
              <w:top w:val="nil"/>
              <w:left w:val="nil"/>
              <w:bottom w:val="single" w:sz="5" w:space="0" w:color="000000"/>
              <w:right w:val="single" w:sz="5" w:space="0" w:color="000000"/>
            </w:tcBorders>
            <w:shd w:val="clear" w:color="auto" w:fill="FFFFFF"/>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+8.1%</w:t>
            </w:r>
          </w:p>
        </w:tc>
      </w:tr>
    </w:tbl>
    <w:p w:rsidR="00743DA6" w:rsidRDefault="00D95D19">
      <w:pPr>
        <w:spacing w:before="240" w:after="240" w:line="259" w:lineRule="auto"/>
        <w:jc w:val="both"/>
        <w:rPr>
          <w:color w:val="0F1115"/>
          <w:sz w:val="22"/>
          <w:szCs w:val="22"/>
          <w:highlight w:val="white"/>
        </w:rPr>
      </w:pPr>
      <w:r>
        <w:rPr>
          <w:sz w:val="18"/>
          <w:szCs w:val="18"/>
        </w:rPr>
        <w:t>Fuente: Elaboración propia (2025) con base en la información suministrada por la SDH (2025).</w:t>
      </w:r>
    </w:p>
    <w:p w:rsidR="00743DA6" w:rsidRDefault="00D95D19">
      <w:pPr>
        <w:shd w:val="clear" w:color="auto" w:fill="FFFFFF"/>
        <w:spacing w:before="340" w:after="240" w:line="276" w:lineRule="auto"/>
        <w:jc w:val="both"/>
        <w:rPr>
          <w:color w:val="0F1115"/>
          <w:sz w:val="22"/>
          <w:szCs w:val="22"/>
          <w:highlight w:val="white"/>
        </w:rPr>
      </w:pPr>
      <w:r>
        <w:rPr>
          <w:color w:val="0F1115"/>
          <w:sz w:val="22"/>
          <w:szCs w:val="22"/>
          <w:highlight w:val="white"/>
        </w:rPr>
        <w:t>La programación para 2026 muestra que la capitalización directa adquiere un papel central dentro del proyecto. La actividad de Apoyo Financiero concentra la mayor asignación del programa ($14.212 millones) y registra uno de los incrementos más altos (+$2.117 millones). Este movimiento indica que la disponibilidad de capital se considera un factor determinante para el funcionamiento de las unidades económicas atendidas. En este contexto, será necesario precisar los criterios de focalización territorial y poblacional, así como los mecanismos operativos mediante los cuales se canalizarán los recursos.</w:t>
      </w:r>
    </w:p>
    <w:p w:rsidR="00743DA6" w:rsidRDefault="00D95D19">
      <w:pPr>
        <w:shd w:val="clear" w:color="auto" w:fill="FFFFFF"/>
        <w:spacing w:before="340" w:after="240" w:line="276" w:lineRule="auto"/>
        <w:jc w:val="both"/>
        <w:rPr>
          <w:color w:val="0F1115"/>
          <w:sz w:val="22"/>
          <w:szCs w:val="22"/>
          <w:highlight w:val="white"/>
        </w:rPr>
      </w:pPr>
      <w:r>
        <w:rPr>
          <w:color w:val="0F1115"/>
          <w:sz w:val="22"/>
          <w:szCs w:val="22"/>
          <w:highlight w:val="white"/>
        </w:rPr>
        <w:t>En lo referente a la comercialización, se observa el crecimiento más acelerado dentro del proyecto. Las dos actividades asociadas aumentan en conjunto $3.163 millones, destacándose “Promover espacios de comercialización” con el incremento absoluto más alto (+$1.707 millones) y “Fortalecer estrategias de comercialización”, cuyo presupuesto se incrementa en 145 %. Estos ajustes evidencian un énfasis programático en ampliar las oportunidades de mercado para las unidades productivas vinculadas.</w:t>
      </w:r>
    </w:p>
    <w:p w:rsidR="00743DA6" w:rsidRDefault="00D95D19">
      <w:pPr>
        <w:shd w:val="clear" w:color="auto" w:fill="FFFFFF"/>
        <w:spacing w:before="340" w:after="240" w:line="276" w:lineRule="auto"/>
        <w:jc w:val="both"/>
        <w:rPr>
          <w:b/>
          <w:bCs/>
          <w:color w:val="0F1115"/>
          <w:sz w:val="22"/>
          <w:szCs w:val="22"/>
          <w:highlight w:val="white"/>
        </w:rPr>
      </w:pPr>
      <w:r>
        <w:rPr>
          <w:color w:val="0F1115"/>
          <w:sz w:val="22"/>
          <w:szCs w:val="22"/>
          <w:highlight w:val="white"/>
        </w:rPr>
        <w:t>Respecto a la formalización, la actividad correspondiente amplía su asignación en 71 % (+$411 millones), lo que refuerza su función dentro del proceso de integración de las unidades económicas al marco regulatorio y de beneficios distritales. Este crecimiento sugiere un interés en consolidar procesos administrativos y normativos que acompañen la evolución de los negocios atendidos.</w:t>
      </w:r>
    </w:p>
    <w:p w:rsidR="00743DA6" w:rsidRDefault="00D95D19">
      <w:pPr>
        <w:shd w:val="clear" w:color="auto" w:fill="FFFFFF"/>
        <w:spacing w:before="240" w:after="240" w:line="276" w:lineRule="auto"/>
        <w:jc w:val="both"/>
        <w:rPr>
          <w:color w:val="0F1115"/>
          <w:sz w:val="22"/>
          <w:szCs w:val="22"/>
          <w:highlight w:val="white"/>
        </w:rPr>
      </w:pPr>
      <w:r>
        <w:rPr>
          <w:color w:val="0F1115"/>
          <w:sz w:val="22"/>
          <w:szCs w:val="22"/>
          <w:highlight w:val="white"/>
        </w:rPr>
        <w:t>Dentro del proyecto se observa una reducción marcada en las actividades orientadas al fortalecimiento productivo. Las líneas de formación y desarrollo económico disminuyen en conjunto $2.294 millones, con variaciones significativas en “Fortalecer aglomeraciones productivas” (–43 %) y “Formar negocios” (–14 %). Este comportamiento indica un ajuste en la escala de intervención asociada a capacidades productivas y trabajo articulado en cadenas económicas.</w:t>
      </w:r>
    </w:p>
    <w:p w:rsidR="00743DA6" w:rsidRDefault="00D95D19">
      <w:pPr>
        <w:shd w:val="clear" w:color="auto" w:fill="FFFFFF"/>
        <w:spacing w:before="240" w:after="240" w:line="276" w:lineRule="auto"/>
        <w:jc w:val="both"/>
        <w:rPr>
          <w:color w:val="0F1115"/>
          <w:sz w:val="22"/>
          <w:szCs w:val="22"/>
          <w:highlight w:val="white"/>
        </w:rPr>
      </w:pPr>
      <w:r>
        <w:rPr>
          <w:color w:val="0F1115"/>
          <w:sz w:val="22"/>
          <w:szCs w:val="22"/>
          <w:highlight w:val="white"/>
        </w:rPr>
        <w:t>Asimismo, las cifras muestran un movimiento presupuestal que modifica el papel del Distrito en materia de financiamiento. La disminución en “Facilitar acceso a financiación” (–$742 millones) ocurre simultáneamente con el incremento en “Apoyo financiero directo” (+$2.117 millones). Esta combinación señala una transición desde un esquema de acompañamiento para acceso al crédito tradicional hacia un modelo en el que el Distrito asume de manera directa la entrega de capital a las unidades económicas. Bajo este enfoque, la programación prioriza instrumentos de capitalización administrados por la entidad, lo que permite dirigir los recursos hacia sectores definidos y asegurar su llegada a segmentos que enfrentan mayores barreras en el sistema financiero convencional.</w:t>
      </w:r>
    </w:p>
    <w:p w:rsidR="00743DA6" w:rsidRDefault="00D95D19">
      <w:pPr>
        <w:shd w:val="clear" w:color="auto" w:fill="FFFFFF"/>
        <w:spacing w:before="240" w:after="240" w:line="276" w:lineRule="auto"/>
        <w:jc w:val="both"/>
        <w:rPr>
          <w:b/>
          <w:bCs/>
          <w:color w:val="0F1115"/>
          <w:sz w:val="22"/>
          <w:szCs w:val="22"/>
          <w:highlight w:val="white"/>
        </w:rPr>
      </w:pPr>
      <w:r>
        <w:rPr>
          <w:b/>
          <w:bCs/>
          <w:color w:val="0F1115"/>
          <w:sz w:val="22"/>
          <w:szCs w:val="22"/>
          <w:highlight w:val="white"/>
        </w:rPr>
        <w:t>Recortes Presupuestales</w:t>
      </w:r>
    </w:p>
    <w:p w:rsidR="00743DA6" w:rsidRDefault="00D95D19">
      <w:pPr>
        <w:shd w:val="clear" w:color="auto" w:fill="FFFFFF"/>
        <w:spacing w:before="240" w:after="240" w:line="276" w:lineRule="auto"/>
        <w:jc w:val="both"/>
        <w:rPr>
          <w:color w:val="0F1115"/>
          <w:sz w:val="22"/>
          <w:szCs w:val="22"/>
          <w:highlight w:val="white"/>
        </w:rPr>
      </w:pPr>
      <w:r>
        <w:rPr>
          <w:color w:val="0F1115"/>
          <w:sz w:val="22"/>
          <w:szCs w:val="22"/>
          <w:highlight w:val="white"/>
        </w:rPr>
        <w:t>El desglose presupuestal permite observar con claridad las decisiones operativas que orientan el ajuste general. Las variaciones no siguen un patrón uniforme: algunas partidas son suprimidas, otras presentan reducciones significativas y, en ciertos casos, se registran incrementos incluso dentro de proyectos que en su conjunto disminuyen su asignación. En el proyecto de inversión Fortalecimiento de la Capacidad Administrativa y Técnica de la SDDE, este comportamiento evidencia que la entidad está reorganizando internamente sus prioridades, redistribuyendo recursos entre componentes que requieren continuidad operativa y aquellos que, según la programación financiera, pueden ajustarse a una escala menor.</w:t>
      </w:r>
    </w:p>
    <w:p w:rsidR="00743DA6" w:rsidRDefault="00D95D19">
      <w:pPr>
        <w:shd w:val="clear" w:color="auto" w:fill="FFFFFF"/>
        <w:spacing w:before="240" w:after="240" w:line="276" w:lineRule="auto"/>
        <w:jc w:val="both"/>
        <w:rPr>
          <w:b/>
          <w:bCs/>
          <w:color w:val="0F1115"/>
          <w:highlight w:val="white"/>
        </w:rPr>
      </w:pPr>
      <w:r>
        <w:rPr>
          <w:b/>
          <w:bCs/>
          <w:sz w:val="22"/>
          <w:szCs w:val="22"/>
        </w:rPr>
        <w:t xml:space="preserve">Tabla No. 35. </w:t>
      </w:r>
      <w:r>
        <w:rPr>
          <w:b/>
          <w:bCs/>
          <w:color w:val="0F1115"/>
          <w:highlight w:val="white"/>
        </w:rPr>
        <w:t xml:space="preserve">Recorte Total al Proyecto de inversión </w:t>
      </w:r>
    </w:p>
    <w:tbl>
      <w:tblPr>
        <w:tblStyle w:val="afffffff"/>
        <w:tblW w:w="7965" w:type="dxa"/>
        <w:tblBorders>
          <w:top w:val="nil"/>
          <w:left w:val="nil"/>
          <w:bottom w:val="nil"/>
          <w:right w:val="nil"/>
          <w:insideH w:val="nil"/>
          <w:insideV w:val="nil"/>
        </w:tblBorders>
        <w:tblLayout w:type="fixed"/>
        <w:tblLook w:val="0600" w:firstRow="0" w:lastRow="0" w:firstColumn="0" w:lastColumn="0" w:noHBand="1" w:noVBand="1"/>
      </w:tblPr>
      <w:tblGrid>
        <w:gridCol w:w="3600"/>
        <w:gridCol w:w="1530"/>
        <w:gridCol w:w="1530"/>
        <w:gridCol w:w="1305"/>
      </w:tblGrid>
      <w:tr w:rsidR="00743DA6">
        <w:trPr>
          <w:trHeight w:val="510"/>
        </w:trPr>
        <w:tc>
          <w:tcPr>
            <w:tcW w:w="3600" w:type="dxa"/>
            <w:tcBorders>
              <w:top w:val="single" w:sz="5" w:space="0" w:color="000000"/>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shd w:val="clear" w:color="auto" w:fill="FFFFFF"/>
              <w:spacing w:before="240" w:line="276" w:lineRule="auto"/>
              <w:jc w:val="both"/>
              <w:rPr>
                <w:rFonts w:ascii="Arial" w:eastAsia="Arial" w:hAnsi="Arial" w:cs="Arial"/>
                <w:b/>
                <w:bCs/>
                <w:color w:val="0F1115"/>
                <w:sz w:val="18"/>
                <w:szCs w:val="18"/>
                <w:highlight w:val="white"/>
              </w:rPr>
            </w:pPr>
            <w:r>
              <w:rPr>
                <w:rFonts w:ascii="Arial" w:eastAsia="Arial" w:hAnsi="Arial" w:cs="Arial"/>
                <w:b/>
                <w:bCs/>
                <w:color w:val="0F1115"/>
                <w:sz w:val="18"/>
                <w:szCs w:val="18"/>
                <w:highlight w:val="white"/>
              </w:rPr>
              <w:t>Actividad</w:t>
            </w:r>
          </w:p>
        </w:tc>
        <w:tc>
          <w:tcPr>
            <w:tcW w:w="1530"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b/>
                <w:bCs/>
                <w:color w:val="0F1115"/>
                <w:sz w:val="18"/>
                <w:szCs w:val="18"/>
                <w:highlight w:val="white"/>
              </w:rPr>
            </w:pPr>
            <w:r>
              <w:rPr>
                <w:rFonts w:ascii="Arial" w:eastAsia="Arial" w:hAnsi="Arial" w:cs="Arial"/>
                <w:b/>
                <w:bCs/>
                <w:color w:val="0F1115"/>
                <w:sz w:val="18"/>
                <w:szCs w:val="18"/>
                <w:highlight w:val="white"/>
              </w:rPr>
              <w:t>2025 PROG</w:t>
            </w:r>
          </w:p>
        </w:tc>
        <w:tc>
          <w:tcPr>
            <w:tcW w:w="1530"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b/>
                <w:bCs/>
                <w:color w:val="0F1115"/>
                <w:sz w:val="18"/>
                <w:szCs w:val="18"/>
                <w:highlight w:val="white"/>
              </w:rPr>
            </w:pPr>
            <w:r>
              <w:rPr>
                <w:rFonts w:ascii="Arial" w:eastAsia="Arial" w:hAnsi="Arial" w:cs="Arial"/>
                <w:b/>
                <w:bCs/>
                <w:color w:val="0F1115"/>
                <w:sz w:val="18"/>
                <w:szCs w:val="18"/>
                <w:highlight w:val="white"/>
              </w:rPr>
              <w:t>2026_PROG</w:t>
            </w:r>
          </w:p>
        </w:tc>
        <w:tc>
          <w:tcPr>
            <w:tcW w:w="1305"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b/>
                <w:bCs/>
                <w:color w:val="0F1115"/>
                <w:sz w:val="18"/>
                <w:szCs w:val="18"/>
                <w:highlight w:val="white"/>
              </w:rPr>
            </w:pPr>
            <w:r>
              <w:rPr>
                <w:rFonts w:ascii="Arial" w:eastAsia="Arial" w:hAnsi="Arial" w:cs="Arial"/>
                <w:b/>
                <w:bCs/>
                <w:color w:val="0F1115"/>
                <w:sz w:val="18"/>
                <w:szCs w:val="18"/>
                <w:highlight w:val="white"/>
              </w:rPr>
              <w:t>Diferencia</w:t>
            </w:r>
          </w:p>
        </w:tc>
      </w:tr>
      <w:tr w:rsidR="00743DA6">
        <w:trPr>
          <w:trHeight w:val="510"/>
        </w:trPr>
        <w:tc>
          <w:tcPr>
            <w:tcW w:w="360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2 - Actualizar Modelo(s) de administración</w:t>
            </w:r>
          </w:p>
        </w:tc>
        <w:tc>
          <w:tcPr>
            <w:tcW w:w="153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$19,535M</w:t>
            </w:r>
          </w:p>
        </w:tc>
        <w:tc>
          <w:tcPr>
            <w:tcW w:w="153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$14,138M</w:t>
            </w:r>
          </w:p>
        </w:tc>
        <w:tc>
          <w:tcPr>
            <w:tcW w:w="130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-​$5,397M</w:t>
            </w:r>
          </w:p>
        </w:tc>
      </w:tr>
      <w:tr w:rsidR="00743DA6">
        <w:trPr>
          <w:trHeight w:val="510"/>
        </w:trPr>
        <w:tc>
          <w:tcPr>
            <w:tcW w:w="360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3 - Potencializar la logística institucional</w:t>
            </w:r>
          </w:p>
        </w:tc>
        <w:tc>
          <w:tcPr>
            <w:tcW w:w="153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$2,224M</w:t>
            </w:r>
          </w:p>
        </w:tc>
        <w:tc>
          <w:tcPr>
            <w:tcW w:w="153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$799M</w:t>
            </w:r>
          </w:p>
        </w:tc>
        <w:tc>
          <w:tcPr>
            <w:tcW w:w="130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-​$1,425M</w:t>
            </w:r>
          </w:p>
        </w:tc>
      </w:tr>
      <w:tr w:rsidR="00743DA6">
        <w:trPr>
          <w:trHeight w:val="510"/>
        </w:trPr>
        <w:tc>
          <w:tcPr>
            <w:tcW w:w="360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1 - Renovar infraestructura tecnológica</w:t>
            </w:r>
          </w:p>
        </w:tc>
        <w:tc>
          <w:tcPr>
            <w:tcW w:w="153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$4,084M</w:t>
            </w:r>
          </w:p>
        </w:tc>
        <w:tc>
          <w:tcPr>
            <w:tcW w:w="153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$5,439M</w:t>
            </w:r>
          </w:p>
        </w:tc>
        <w:tc>
          <w:tcPr>
            <w:tcW w:w="130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hd w:val="clear" w:color="auto" w:fill="FFFFFF"/>
              <w:spacing w:before="240" w:line="276" w:lineRule="auto"/>
              <w:jc w:val="both"/>
              <w:rPr>
                <w:rFonts w:ascii="Arial" w:eastAsia="Arial" w:hAnsi="Arial" w:cs="Arial"/>
                <w:color w:val="0F1115"/>
                <w:sz w:val="18"/>
                <w:szCs w:val="18"/>
                <w:highlight w:val="white"/>
              </w:rPr>
            </w:pPr>
            <w:r>
              <w:rPr>
                <w:rFonts w:ascii="Arial" w:eastAsia="Arial" w:hAnsi="Arial" w:cs="Arial"/>
                <w:color w:val="0F1115"/>
                <w:sz w:val="18"/>
                <w:szCs w:val="18"/>
                <w:highlight w:val="white"/>
              </w:rPr>
              <w:t>+$1,355M</w:t>
            </w:r>
          </w:p>
        </w:tc>
      </w:tr>
    </w:tbl>
    <w:p w:rsidR="00743DA6" w:rsidRDefault="00D95D19">
      <w:pPr>
        <w:shd w:val="clear" w:color="auto" w:fill="FFFFFF"/>
        <w:spacing w:before="240" w:after="240" w:line="276" w:lineRule="auto"/>
        <w:jc w:val="both"/>
        <w:rPr>
          <w:color w:val="0F1115"/>
          <w:sz w:val="22"/>
          <w:szCs w:val="22"/>
          <w:highlight w:val="white"/>
        </w:rPr>
      </w:pPr>
      <w:r>
        <w:rPr>
          <w:color w:val="0F1115"/>
          <w:sz w:val="22"/>
          <w:szCs w:val="22"/>
          <w:highlight w:val="white"/>
        </w:rPr>
        <w:t>El ajuste no responde a una reducción generalizada, sino a una reorganización interna que redistribuye recursos desde actividades de modernización administrativa y logística hacia componentes asociados a la infraestructura tecnológica de la entidad. A esto se añade la existencia de vigencias futuras previamente aprobadas para inversión, lo que hace necesario precisar en qué proyectos se está concentrando dicha programación y cómo se articula con las prioridades definidas para la vigencia 2026.</w:t>
      </w:r>
    </w:p>
    <w:p w:rsidR="00743DA6" w:rsidRDefault="00D95D19">
      <w:pPr>
        <w:shd w:val="clear" w:color="auto" w:fill="FFFFFF"/>
        <w:spacing w:before="240" w:after="240" w:line="276" w:lineRule="auto"/>
        <w:jc w:val="both"/>
        <w:rPr>
          <w:b/>
          <w:bCs/>
          <w:color w:val="0F1115"/>
          <w:sz w:val="22"/>
          <w:szCs w:val="22"/>
          <w:highlight w:val="white"/>
        </w:rPr>
      </w:pPr>
      <w:r>
        <w:rPr>
          <w:b/>
          <w:bCs/>
          <w:color w:val="0F1115"/>
          <w:sz w:val="22"/>
          <w:szCs w:val="22"/>
          <w:highlight w:val="white"/>
        </w:rPr>
        <w:t>Proyecto de inversión de Fortalecimiento de la Ruta Integral de Empleo y Formación</w:t>
      </w:r>
    </w:p>
    <w:p w:rsidR="00743DA6" w:rsidRDefault="00D95D19">
      <w:pPr>
        <w:shd w:val="clear" w:color="auto" w:fill="FFFFFF"/>
        <w:spacing w:before="240" w:after="240" w:line="276" w:lineRule="auto"/>
        <w:jc w:val="both"/>
        <w:rPr>
          <w:b/>
          <w:bCs/>
          <w:color w:val="0F1115"/>
          <w:highlight w:val="white"/>
        </w:rPr>
      </w:pPr>
      <w:r>
        <w:rPr>
          <w:b/>
          <w:bCs/>
          <w:sz w:val="22"/>
          <w:szCs w:val="22"/>
        </w:rPr>
        <w:t xml:space="preserve">Tabla No. 36. </w:t>
      </w:r>
      <w:r>
        <w:rPr>
          <w:b/>
          <w:bCs/>
          <w:color w:val="0F1115"/>
          <w:highlight w:val="white"/>
        </w:rPr>
        <w:t>Recorte Total al Proyecto de inversión</w:t>
      </w:r>
    </w:p>
    <w:tbl>
      <w:tblPr>
        <w:tblStyle w:val="afffffff0"/>
        <w:tblW w:w="8880" w:type="dxa"/>
        <w:tblBorders>
          <w:top w:val="nil"/>
          <w:left w:val="nil"/>
          <w:bottom w:val="nil"/>
          <w:right w:val="nil"/>
          <w:insideH w:val="nil"/>
          <w:insideV w:val="nil"/>
        </w:tblBorders>
        <w:tblLayout w:type="fixed"/>
        <w:tblLook w:val="0600" w:firstRow="0" w:lastRow="0" w:firstColumn="0" w:lastColumn="0" w:noHBand="1" w:noVBand="1"/>
      </w:tblPr>
      <w:tblGrid>
        <w:gridCol w:w="3900"/>
        <w:gridCol w:w="1725"/>
        <w:gridCol w:w="1725"/>
        <w:gridCol w:w="1530"/>
      </w:tblGrid>
      <w:tr w:rsidR="00743DA6">
        <w:trPr>
          <w:trHeight w:val="585"/>
        </w:trPr>
        <w:tc>
          <w:tcPr>
            <w:tcW w:w="3900" w:type="dxa"/>
            <w:tcBorders>
              <w:top w:val="single" w:sz="5" w:space="0" w:color="000000"/>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Actividad</w:t>
            </w:r>
          </w:p>
        </w:tc>
        <w:tc>
          <w:tcPr>
            <w:tcW w:w="1725"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2025_PROG</w:t>
            </w:r>
          </w:p>
        </w:tc>
        <w:tc>
          <w:tcPr>
            <w:tcW w:w="1725"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2026_PROG</w:t>
            </w:r>
          </w:p>
        </w:tc>
        <w:tc>
          <w:tcPr>
            <w:tcW w:w="1530"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Diferencia</w:t>
            </w:r>
          </w:p>
        </w:tc>
      </w:tr>
      <w:tr w:rsidR="00743DA6">
        <w:trPr>
          <w:trHeight w:val="495"/>
        </w:trPr>
        <w:tc>
          <w:tcPr>
            <w:tcW w:w="390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1 - Lograr Colocación(es) en el mercado laboral formal</w:t>
            </w:r>
          </w:p>
        </w:tc>
        <w:tc>
          <w:tcPr>
            <w:tcW w:w="172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$46,103M</w:t>
            </w:r>
          </w:p>
        </w:tc>
        <w:tc>
          <w:tcPr>
            <w:tcW w:w="172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$29,444M</w:t>
            </w:r>
          </w:p>
        </w:tc>
        <w:tc>
          <w:tcPr>
            <w:tcW w:w="153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-​$16,659M</w:t>
            </w:r>
          </w:p>
        </w:tc>
      </w:tr>
      <w:tr w:rsidR="00743DA6">
        <w:trPr>
          <w:trHeight w:val="705"/>
        </w:trPr>
        <w:tc>
          <w:tcPr>
            <w:tcW w:w="390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5 - Desarrollar Estrategia(s) de fortalecimiento de la Agencia de Empleo</w:t>
            </w:r>
          </w:p>
        </w:tc>
        <w:tc>
          <w:tcPr>
            <w:tcW w:w="172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$328M</w:t>
            </w:r>
          </w:p>
        </w:tc>
        <w:tc>
          <w:tcPr>
            <w:tcW w:w="172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$0</w:t>
            </w:r>
          </w:p>
        </w:tc>
        <w:tc>
          <w:tcPr>
            <w:tcW w:w="153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-​$328M</w:t>
            </w:r>
          </w:p>
        </w:tc>
      </w:tr>
      <w:tr w:rsidR="00743DA6">
        <w:trPr>
          <w:trHeight w:val="525"/>
        </w:trPr>
        <w:tc>
          <w:tcPr>
            <w:tcW w:w="390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3 - Implementar Sistema(s) de información laboral</w:t>
            </w:r>
          </w:p>
        </w:tc>
        <w:tc>
          <w:tcPr>
            <w:tcW w:w="172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$855M</w:t>
            </w:r>
          </w:p>
        </w:tc>
        <w:tc>
          <w:tcPr>
            <w:tcW w:w="172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$1,645M</w:t>
            </w:r>
          </w:p>
        </w:tc>
        <w:tc>
          <w:tcPr>
            <w:tcW w:w="153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+$790M</w:t>
            </w:r>
          </w:p>
        </w:tc>
      </w:tr>
      <w:tr w:rsidR="00743DA6">
        <w:trPr>
          <w:trHeight w:val="540"/>
        </w:trPr>
        <w:tc>
          <w:tcPr>
            <w:tcW w:w="390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2 - Lograr Certificación(es) en formación</w:t>
            </w:r>
          </w:p>
        </w:tc>
        <w:tc>
          <w:tcPr>
            <w:tcW w:w="172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$16,883M</w:t>
            </w:r>
          </w:p>
        </w:tc>
        <w:tc>
          <w:tcPr>
            <w:tcW w:w="172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$17,252M</w:t>
            </w:r>
          </w:p>
        </w:tc>
        <w:tc>
          <w:tcPr>
            <w:tcW w:w="153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+$370M</w:t>
            </w:r>
          </w:p>
        </w:tc>
      </w:tr>
      <w:tr w:rsidR="00743DA6">
        <w:trPr>
          <w:trHeight w:val="585"/>
        </w:trPr>
        <w:tc>
          <w:tcPr>
            <w:tcW w:w="390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4 - Formar en habilidades blandas</w:t>
            </w:r>
          </w:p>
        </w:tc>
        <w:tc>
          <w:tcPr>
            <w:tcW w:w="172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$274M</w:t>
            </w:r>
          </w:p>
        </w:tc>
        <w:tc>
          <w:tcPr>
            <w:tcW w:w="172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$309M</w:t>
            </w:r>
          </w:p>
        </w:tc>
        <w:tc>
          <w:tcPr>
            <w:tcW w:w="153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20"/>
                <w:szCs w:val="20"/>
              </w:rPr>
            </w:pPr>
            <w:r>
              <w:rPr>
                <w:rFonts w:ascii="Arial" w:eastAsia="Arial" w:hAnsi="Arial" w:cs="Arial"/>
                <w:sz w:val="20"/>
                <w:szCs w:val="20"/>
              </w:rPr>
              <w:t>+$35M</w:t>
            </w:r>
          </w:p>
        </w:tc>
      </w:tr>
    </w:tbl>
    <w:p w:rsidR="00743DA6" w:rsidRDefault="00D95D19">
      <w:pPr>
        <w:spacing w:line="276" w:lineRule="auto"/>
        <w:rPr>
          <w:sz w:val="20"/>
          <w:szCs w:val="20"/>
        </w:rPr>
      </w:pPr>
      <w:r>
        <w:rPr>
          <w:sz w:val="20"/>
          <w:szCs w:val="20"/>
        </w:rPr>
        <w:t xml:space="preserve"> </w:t>
      </w:r>
    </w:p>
    <w:p w:rsidR="00743DA6" w:rsidRDefault="00D95D19">
      <w:pPr>
        <w:shd w:val="clear" w:color="auto" w:fill="FFFFFF"/>
        <w:spacing w:after="240" w:line="276" w:lineRule="auto"/>
        <w:jc w:val="both"/>
        <w:rPr>
          <w:sz w:val="22"/>
          <w:szCs w:val="22"/>
        </w:rPr>
      </w:pPr>
      <w:r>
        <w:rPr>
          <w:color w:val="0F1115"/>
          <w:sz w:val="22"/>
          <w:szCs w:val="22"/>
          <w:highlight w:val="white"/>
        </w:rPr>
        <w:t>Los ajustes presupuestales muestran un cambio de orientación en la política de empleo de la SDDE. Más que una reducción general de recursos, lo que se observa es una reorganización del papel institucional en este ámbito. En primer lugar, se identifica una disminución en la meta de inserciones laborales gestionadas directamente por la entidad, lo cual modifica la escala de intervención sobre grupos con mayores barreras de acceso al empleo formal, entre ellos mujeres, jóvenes y personas mayores de 50 años. De forma complementaria, se mantiene la inversión en formación y certificación de competencias, reforzando la idea de que el desarrollo de habilidades constituye un eje central para mejorar las condiciones de empleabilidad de la población atendida.</w:t>
      </w:r>
    </w:p>
    <w:p w:rsidR="00743DA6" w:rsidRDefault="00D95D19">
      <w:pPr>
        <w:pBdr>
          <w:top w:val="nil"/>
          <w:left w:val="nil"/>
          <w:bottom w:val="nil"/>
          <w:right w:val="nil"/>
          <w:between w:val="nil"/>
        </w:pBdr>
        <w:spacing w:line="259" w:lineRule="auto"/>
        <w:jc w:val="both"/>
        <w:rPr>
          <w:b/>
          <w:bCs/>
          <w:sz w:val="22"/>
          <w:szCs w:val="22"/>
        </w:rPr>
      </w:pPr>
      <w:r>
        <w:rPr>
          <w:b/>
          <w:bCs/>
          <w:color w:val="000000"/>
          <w:sz w:val="22"/>
          <w:szCs w:val="22"/>
        </w:rPr>
        <w:t>Instituto para la Economía Social - IPES</w:t>
      </w:r>
    </w:p>
    <w:p w:rsidR="00743DA6" w:rsidRDefault="00D95D19">
      <w:pPr>
        <w:spacing w:before="240" w:after="240" w:line="259" w:lineRule="auto"/>
        <w:jc w:val="both"/>
        <w:rPr>
          <w:sz w:val="22"/>
          <w:szCs w:val="22"/>
        </w:rPr>
      </w:pPr>
      <w:r>
        <w:rPr>
          <w:sz w:val="22"/>
          <w:szCs w:val="22"/>
        </w:rPr>
        <w:t>El comportamiento presupuestal del IPES entre 2022 y 2026 muestra una entidad que ha operado bajo variaciones importantes en la asignación de recursos, lo que evidencia la necesidad de consolidar capacidades internas acordes con la escala y complejidad de sus funciones. La gráfica señala que la apropiación presupuestal inicia en un nivel alto en 2022, disminuye en 2023, se recupera en 2024, alcanza su punto máximo en 2025 y se ajusta levemente en 2026. Estas fluctuaciones plantean un escenario en el que la entidad administra ciclos de expansión y contracción que requieren una respuesta técnica más robusta para garantizar continuidad y estabilidad operativa.</w:t>
      </w:r>
    </w:p>
    <w:p w:rsidR="00743DA6" w:rsidRDefault="00D95D19">
      <w:pPr>
        <w:spacing w:before="240" w:after="240" w:line="259" w:lineRule="auto"/>
        <w:jc w:val="both"/>
        <w:rPr>
          <w:sz w:val="22"/>
          <w:szCs w:val="22"/>
        </w:rPr>
      </w:pPr>
      <w:r>
        <w:rPr>
          <w:sz w:val="22"/>
          <w:szCs w:val="22"/>
        </w:rPr>
        <w:t xml:space="preserve">Al observar la ejecución, aparece un elemento clave para la planeación futura: la distancia entre lo programado y lo girado aumenta en los años de mayor crecimiento presupuestal. Esta tendencia sugiere que, a medida que la entidad recibe más recursos, se hace más evidente la necesidad de fortalecer su capacidad de gestión, sus equipos técnicos y sus procesos operativos. Más que una limitación, esta brecha constituye un insumo estratégico para orientar el rediseño institucional y justificar inversiones adicionales en estructura, personal, sistemas de información y acompañamiento técnico que permitan ejecutar de forma consistente los incrementos presupuestales proyectados. </w:t>
      </w:r>
    </w:p>
    <w:p w:rsidR="00743DA6" w:rsidRDefault="00D95D19">
      <w:pPr>
        <w:spacing w:before="240" w:after="240" w:line="259" w:lineRule="auto"/>
        <w:jc w:val="center"/>
        <w:rPr>
          <w:b/>
          <w:bCs/>
          <w:sz w:val="22"/>
          <w:szCs w:val="22"/>
        </w:rPr>
      </w:pPr>
      <w:r>
        <w:rPr>
          <w:b/>
          <w:bCs/>
          <w:sz w:val="22"/>
          <w:szCs w:val="22"/>
        </w:rPr>
        <w:t>Histórico Presupuesto IPES 2022 - 2026</w:t>
      </w:r>
    </w:p>
    <w:p w:rsidR="00743DA6" w:rsidRDefault="00D95D19">
      <w:pPr>
        <w:spacing w:after="160" w:line="259" w:lineRule="auto"/>
        <w:rPr>
          <w:b/>
          <w:bCs/>
        </w:rPr>
      </w:pPr>
      <w:r>
        <w:rPr>
          <w:b/>
          <w:bCs/>
          <w:noProof/>
          <w:lang w:val="es-CO"/>
        </w:rPr>
        <w:drawing>
          <wp:inline distT="114300" distB="114300" distL="114300" distR="114300">
            <wp:extent cx="5274614" cy="3080292"/>
            <wp:effectExtent l="0" t="0" r="0" b="0"/>
            <wp:docPr id="212739958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6"/>
                    <a:srcRect/>
                    <a:stretch>
                      <a:fillRect/>
                    </a:stretch>
                  </pic:blipFill>
                  <pic:spPr>
                    <a:xfrm>
                      <a:off x="0" y="0"/>
                      <a:ext cx="5274614" cy="3080292"/>
                    </a:xfrm>
                    <a:prstGeom prst="rect">
                      <a:avLst/>
                    </a:prstGeom>
                    <a:ln/>
                  </pic:spPr>
                </pic:pic>
              </a:graphicData>
            </a:graphic>
          </wp:inline>
        </w:drawing>
      </w:r>
    </w:p>
    <w:p w:rsidR="00743DA6" w:rsidRDefault="00D95D19">
      <w:pPr>
        <w:spacing w:line="276" w:lineRule="auto"/>
        <w:jc w:val="both"/>
      </w:pP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line="259" w:lineRule="auto"/>
        <w:jc w:val="both"/>
      </w:pPr>
      <w:r>
        <w:t>Durante 2022 y 2023, con apropiaciones relativamente estables, el IPES alcanzó niveles de ejecución cercanos al 69 % y 72 %, lo que muestra que, bajo escenarios presupuestales moderados, la entidad logró mantener un desempeño operativo consistente. En 2024, el nivel de giro ascendió al 75 %, el más alto del periodo, lo cual sugería que podía responder adecuadamente a incrementos graduales en su presupuesto. No obstante, la dinámica cambia de manera notoria en 2025: aunque la asignación asciende a cerca de $90 mil millones, los giros se sitúan en $47.767 millones (aprox. 53 %). La diferencia entre programación y ejecución indica que el crecimiento acelerado de los recursos implicó exigencias superiores a la capacidad con la que venía operando el IPES. Este comportamiento se refleja también en la reducción de compromisos contractuales, lo que señala que las dificultades no se limitaron a la ejecución, sino que involucraron también la formalización de procesos previos.</w:t>
      </w:r>
    </w:p>
    <w:p w:rsidR="00743DA6" w:rsidRDefault="00D95D19">
      <w:pPr>
        <w:spacing w:before="240" w:after="240" w:line="259" w:lineRule="auto"/>
        <w:jc w:val="both"/>
      </w:pPr>
      <w:r>
        <w:t>Este punto coincide con un momento institucional complejo, marcado por cambios en las orientaciones del gobierno distrital y por ajustes en las líneas de trabajo dirigidas a vendedores informales y economía popular. Estas variaciones introdujeron nuevas condiciones administrativas que impactaron la continuidad de ciclos de contratación territorial, un elemento central para la operación del IPES. La combinación entre un presupuesto excepcionalmente alto y un entorno institucional en transformación explica buena parte del rezago presentado en esta vigencia.</w:t>
      </w:r>
    </w:p>
    <w:p w:rsidR="00743DA6" w:rsidRDefault="00D95D19">
      <w:pPr>
        <w:spacing w:before="240" w:after="240" w:line="259" w:lineRule="auto"/>
        <w:jc w:val="both"/>
      </w:pPr>
      <w:r>
        <w:t>Para 2026, la asignación pasa de $89.849 millones a $88.465 millones, lo que representa más un ajuste que una reducción estructural. Esta variación sugiere una calibración del presupuesto hacia un nivel que resulte más manejable según el comportamiento reciente de la ejecución, pero manteniendo un monto elevado que permite sostener la agenda misional. La decisión expresa la necesidad de que la entidad consolide capacidades de gestión acordes con los recursos asignados: mejorar la planeación contractual, fortalecer los equipos territoriales y asegurar que los programas dirigidos a vendedores informales cuenten con condiciones estables de implementación. En esa medida, el análisis no apunta a una contracción del rol del IPES, sino a la importancia de adecuar su estructura operativa para hacer viable un crecimiento presupuestal sostenido en el mediano plazo.</w:t>
      </w:r>
    </w:p>
    <w:p w:rsidR="00743DA6" w:rsidRDefault="00D95D19">
      <w:pPr>
        <w:spacing w:before="240" w:after="240" w:line="259" w:lineRule="auto"/>
        <w:jc w:val="both"/>
        <w:rPr>
          <w:b/>
          <w:bCs/>
          <w:sz w:val="22"/>
          <w:szCs w:val="22"/>
        </w:rPr>
      </w:pPr>
      <w:r>
        <w:rPr>
          <w:b/>
          <w:bCs/>
          <w:sz w:val="22"/>
          <w:szCs w:val="22"/>
        </w:rPr>
        <w:t>Hallazgos y Alertas</w:t>
      </w:r>
    </w:p>
    <w:p w:rsidR="00743DA6" w:rsidRDefault="00D95D19">
      <w:pPr>
        <w:spacing w:before="240" w:after="240" w:line="259" w:lineRule="auto"/>
        <w:jc w:val="both"/>
        <w:rPr>
          <w:sz w:val="22"/>
          <w:szCs w:val="22"/>
        </w:rPr>
      </w:pPr>
      <w:r>
        <w:rPr>
          <w:sz w:val="22"/>
          <w:szCs w:val="22"/>
        </w:rPr>
        <w:t>El comportamiento presupuestal del Instituto para la Economía Social (IPES) en 2025 evidencia una brecha significativa entre la programación financiera, la contratación y la ejecución. Para esta vigencia, la entidad contó con $72.370 millones asignados, de los cuales se comprometieron $53.851 millones, mientras que los giros efectuados alcanzaron $28.806 millones, equivalentes al 39,80 % de la apropiación inicial. Esta diferencia señala que una proporción importante de los recursos disponibles no logró convertirse en pagos efectivos durante el periodo, lo que limita el alcance de las intervenciones dirigidas a la economía popular.</w:t>
      </w:r>
    </w:p>
    <w:p w:rsidR="00743DA6" w:rsidRDefault="00D95D19">
      <w:pPr>
        <w:spacing w:before="240" w:after="240" w:line="259" w:lineRule="auto"/>
        <w:jc w:val="both"/>
        <w:rPr>
          <w:sz w:val="22"/>
          <w:szCs w:val="22"/>
        </w:rPr>
      </w:pPr>
      <w:r>
        <w:rPr>
          <w:sz w:val="22"/>
          <w:szCs w:val="22"/>
        </w:rPr>
        <w:t xml:space="preserve">En respuesta a este comportamiento, la programación 2026 se ajusta a $65.034 millones, lo que representa una variación de –$7.336 millones (–10,14 %). Más que una reducción estructural, este ajuste busca situar la asignación presupuestal en un nivel coherente con la capacidad de ejecución observada, mientras se generan condiciones para que la entidad consolide los procesos administrativos y operativos que le permitan absorber recursos de manera más consistente. </w:t>
      </w:r>
    </w:p>
    <w:p w:rsidR="00743DA6" w:rsidRDefault="00D95D19">
      <w:pPr>
        <w:spacing w:before="240" w:after="240" w:line="259" w:lineRule="auto"/>
        <w:jc w:val="both"/>
        <w:rPr>
          <w:b/>
          <w:bCs/>
          <w:sz w:val="22"/>
          <w:szCs w:val="22"/>
        </w:rPr>
      </w:pPr>
      <w:r>
        <w:rPr>
          <w:b/>
          <w:bCs/>
          <w:sz w:val="22"/>
          <w:szCs w:val="22"/>
        </w:rPr>
        <w:t>Análisis de actividades con recorte presupuestal</w:t>
      </w:r>
    </w:p>
    <w:p w:rsidR="00743DA6" w:rsidRDefault="00D95D19">
      <w:pPr>
        <w:spacing w:line="259" w:lineRule="auto"/>
        <w:jc w:val="both"/>
        <w:rPr>
          <w:b/>
          <w:bCs/>
          <w:sz w:val="22"/>
          <w:szCs w:val="22"/>
        </w:rPr>
      </w:pPr>
      <w:r>
        <w:rPr>
          <w:b/>
          <w:bCs/>
          <w:sz w:val="22"/>
          <w:szCs w:val="22"/>
        </w:rPr>
        <w:t>Tabla No. 37. Actividades con recorte presupuestal IPES 2025 - 2026</w:t>
      </w:r>
    </w:p>
    <w:sdt>
      <w:sdtPr>
        <w:rPr>
          <w:rFonts w:ascii="Arial" w:eastAsia="Arial" w:hAnsi="Arial" w:cs="Arial"/>
          <w:sz w:val="24"/>
          <w:szCs w:val="24"/>
          <w:lang w:val="es" w:eastAsia="es-CO"/>
        </w:rPr>
        <w:tag w:val="goog_rdk_566"/>
        <w:id w:val="1655991535"/>
        <w:lock w:val="contentLocked"/>
      </w:sdtPr>
      <w:sdtEndPr/>
      <w:sdtContent>
        <w:tbl>
          <w:tblPr>
            <w:tblStyle w:val="afffffff1"/>
            <w:tblW w:w="8820" w:type="dxa"/>
            <w:tblBorders>
              <w:top w:val="nil"/>
              <w:left w:val="nil"/>
              <w:bottom w:val="nil"/>
              <w:right w:val="nil"/>
              <w:insideH w:val="nil"/>
              <w:insideV w:val="nil"/>
            </w:tblBorders>
            <w:tblLayout w:type="fixed"/>
            <w:tblLook w:val="0600" w:firstRow="0" w:lastRow="0" w:firstColumn="0" w:lastColumn="0" w:noHBand="1" w:noVBand="1"/>
          </w:tblPr>
          <w:tblGrid>
            <w:gridCol w:w="3855"/>
            <w:gridCol w:w="1080"/>
            <w:gridCol w:w="1155"/>
            <w:gridCol w:w="750"/>
            <w:gridCol w:w="915"/>
            <w:gridCol w:w="1065"/>
          </w:tblGrid>
          <w:tr w:rsidR="00743DA6">
            <w:trPr>
              <w:trHeight w:val="540"/>
            </w:trPr>
            <w:sdt>
              <w:sdtPr>
                <w:rPr>
                  <w:rFonts w:ascii="Arial" w:eastAsia="Arial" w:hAnsi="Arial" w:cs="Arial"/>
                  <w:sz w:val="24"/>
                  <w:szCs w:val="24"/>
                  <w:lang w:val="es" w:eastAsia="es-CO"/>
                </w:rPr>
                <w:tag w:val="goog_rdk_464"/>
                <w:id w:val="18909271"/>
                <w:lock w:val="contentLocked"/>
              </w:sdtPr>
              <w:sdtEndPr>
                <w:rPr>
                  <w:rFonts w:ascii="Calibri" w:eastAsia="Calibri" w:hAnsi="Calibri" w:cs="Calibri"/>
                  <w:sz w:val="22"/>
                  <w:szCs w:val="22"/>
                  <w:lang w:val="en-US" w:eastAsia="en-US"/>
                </w:rPr>
              </w:sdtEndPr>
              <w:sdtContent>
                <w:tc>
                  <w:tcPr>
                    <w:tcW w:w="3855" w:type="dxa"/>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 xml:space="preserve"> ACTIVIDAD</w:t>
                    </w:r>
                  </w:p>
                </w:tc>
              </w:sdtContent>
            </w:sdt>
            <w:sdt>
              <w:sdtPr>
                <w:tag w:val="goog_rdk_465"/>
                <w:id w:val="450527713"/>
                <w:lock w:val="contentLocked"/>
              </w:sdtPr>
              <w:sdtEndPr/>
              <w:sdtContent>
                <w:tc>
                  <w:tcPr>
                    <w:tcW w:w="108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2025</w:t>
                    </w:r>
                  </w:p>
                </w:tc>
              </w:sdtContent>
            </w:sdt>
            <w:sdt>
              <w:sdtPr>
                <w:tag w:val="goog_rdk_466"/>
                <w:id w:val="-1919586065"/>
                <w:lock w:val="contentLocked"/>
              </w:sdtPr>
              <w:sdtEndPr/>
              <w:sdtContent>
                <w:tc>
                  <w:tcPr>
                    <w:tcW w:w="115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CONTRATADO 2025</w:t>
                    </w:r>
                  </w:p>
                </w:tc>
              </w:sdtContent>
            </w:sdt>
            <w:sdt>
              <w:sdtPr>
                <w:tag w:val="goog_rdk_467"/>
                <w:id w:val="1229380345"/>
                <w:lock w:val="contentLocked"/>
              </w:sdtPr>
              <w:sdtEndPr/>
              <w:sdtContent>
                <w:tc>
                  <w:tcPr>
                    <w:tcW w:w="75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EJECUTADO 2025</w:t>
                    </w:r>
                  </w:p>
                </w:tc>
              </w:sdtContent>
            </w:sdt>
            <w:sdt>
              <w:sdtPr>
                <w:tag w:val="goog_rdk_468"/>
                <w:id w:val="-1737301385"/>
                <w:lock w:val="contentLocked"/>
              </w:sdtPr>
              <w:sdtEndPr/>
              <w:sdtContent>
                <w:tc>
                  <w:tcPr>
                    <w:tcW w:w="91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2026</w:t>
                    </w:r>
                  </w:p>
                </w:tc>
              </w:sdtContent>
            </w:sdt>
            <w:sdt>
              <w:sdtPr>
                <w:tag w:val="goog_rdk_469"/>
                <w:id w:val="-2081284627"/>
                <w:lock w:val="contentLocked"/>
              </w:sdtPr>
              <w:sdtEndPr/>
              <w:sdtContent>
                <w:tc>
                  <w:tcPr>
                    <w:tcW w:w="106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DIFERENCIA 2025 - 2026</w:t>
                    </w:r>
                  </w:p>
                </w:tc>
              </w:sdtContent>
            </w:sdt>
          </w:tr>
          <w:tr w:rsidR="00743DA6">
            <w:trPr>
              <w:trHeight w:val="1590"/>
            </w:trPr>
            <w:sdt>
              <w:sdtPr>
                <w:tag w:val="goog_rdk_470"/>
                <w:id w:val="-1654351977"/>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Implementar 4 Plan(es) de intervención de las zonas de aglomeración en el espacio público de la ciudad teniendo en cuenta las problemáticas asociadas con seguridad, afectación del espacio público y zonas de peatonalización, contribuyendo al programa espacio público seguro e inclusivo.</w:t>
                    </w:r>
                  </w:p>
                </w:tc>
              </w:sdtContent>
            </w:sdt>
            <w:sdt>
              <w:sdtPr>
                <w:tag w:val="goog_rdk_471"/>
                <w:id w:val="2049531850"/>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$ 3,602</w:t>
                    </w:r>
                  </w:p>
                </w:tc>
              </w:sdtContent>
            </w:sdt>
            <w:sdt>
              <w:sdtPr>
                <w:tag w:val="goog_rdk_472"/>
                <w:id w:val="-984330924"/>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$ 3,318</w:t>
                    </w:r>
                  </w:p>
                </w:tc>
              </w:sdtContent>
            </w:sdt>
            <w:sdt>
              <w:sdtPr>
                <w:tag w:val="goog_rdk_473"/>
                <w:id w:val="46093937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$ 2,522</w:t>
                    </w:r>
                  </w:p>
                </w:tc>
              </w:sdtContent>
            </w:sdt>
            <w:sdt>
              <w:sdtPr>
                <w:tag w:val="goog_rdk_474"/>
                <w:id w:val="1483942805"/>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$ 3,559</w:t>
                    </w:r>
                  </w:p>
                </w:tc>
              </w:sdtContent>
            </w:sdt>
            <w:sdt>
              <w:sdtPr>
                <w:tag w:val="goog_rdk_475"/>
                <w:id w:val="1595691086"/>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-$ 43</w:t>
                    </w:r>
                  </w:p>
                </w:tc>
              </w:sdtContent>
            </w:sdt>
          </w:tr>
          <w:tr w:rsidR="00743DA6">
            <w:trPr>
              <w:trHeight w:val="1515"/>
            </w:trPr>
            <w:sdt>
              <w:sdtPr>
                <w:tag w:val="goog_rdk_476"/>
                <w:id w:val="-478872549"/>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Realizar 3 Acción(es) de sostenibilidad dirigidas a los vendedores informales ubicados en las zonas de aglomeración contribuyendo a la autorregulación y corresponsabilidad con la ciudad.</w:t>
                    </w:r>
                  </w:p>
                </w:tc>
              </w:sdtContent>
            </w:sdt>
            <w:sdt>
              <w:sdtPr>
                <w:tag w:val="goog_rdk_477"/>
                <w:id w:val="888018767"/>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$ 5,710</w:t>
                    </w:r>
                  </w:p>
                </w:tc>
              </w:sdtContent>
            </w:sdt>
            <w:sdt>
              <w:sdtPr>
                <w:tag w:val="goog_rdk_478"/>
                <w:id w:val="503506320"/>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$ 4,602</w:t>
                    </w:r>
                  </w:p>
                </w:tc>
              </w:sdtContent>
            </w:sdt>
            <w:sdt>
              <w:sdtPr>
                <w:tag w:val="goog_rdk_479"/>
                <w:id w:val="42401403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$ 3,048</w:t>
                    </w:r>
                  </w:p>
                </w:tc>
              </w:sdtContent>
            </w:sdt>
            <w:sdt>
              <w:sdtPr>
                <w:tag w:val="goog_rdk_480"/>
                <w:id w:val="-1902994107"/>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$ 4,262</w:t>
                    </w:r>
                  </w:p>
                </w:tc>
              </w:sdtContent>
            </w:sdt>
            <w:sdt>
              <w:sdtPr>
                <w:tag w:val="goog_rdk_481"/>
                <w:id w:val="-72519727"/>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-$ 1,448</w:t>
                    </w:r>
                  </w:p>
                </w:tc>
              </w:sdtContent>
            </w:sdt>
          </w:tr>
          <w:tr w:rsidR="00743DA6">
            <w:trPr>
              <w:trHeight w:val="1755"/>
            </w:trPr>
            <w:sdt>
              <w:sdtPr>
                <w:tag w:val="goog_rdk_482"/>
                <w:id w:val="1227507056"/>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Realizar 14 Actividad(es) de fortalecimiento comercial y empresarial para incrementar la Participación de las PDM como escenarios turísticos con actividades como festivales gastronómicos, festival de hierbas, vitrinas comerciales, eventos de ciudad, entre otros.</w:t>
                    </w:r>
                  </w:p>
                </w:tc>
              </w:sdtContent>
            </w:sdt>
            <w:sdt>
              <w:sdtPr>
                <w:tag w:val="goog_rdk_483"/>
                <w:id w:val="-1487256923"/>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$ 1,908</w:t>
                    </w:r>
                  </w:p>
                </w:tc>
              </w:sdtContent>
            </w:sdt>
            <w:sdt>
              <w:sdtPr>
                <w:tag w:val="goog_rdk_484"/>
                <w:id w:val="2053662443"/>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$ 994</w:t>
                    </w:r>
                  </w:p>
                </w:tc>
              </w:sdtContent>
            </w:sdt>
            <w:sdt>
              <w:sdtPr>
                <w:tag w:val="goog_rdk_485"/>
                <w:id w:val="1423000757"/>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$ 459</w:t>
                    </w:r>
                  </w:p>
                </w:tc>
              </w:sdtContent>
            </w:sdt>
            <w:sdt>
              <w:sdtPr>
                <w:tag w:val="goog_rdk_486"/>
                <w:id w:val="-374684647"/>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$ 671</w:t>
                    </w:r>
                  </w:p>
                </w:tc>
              </w:sdtContent>
            </w:sdt>
            <w:sdt>
              <w:sdtPr>
                <w:tag w:val="goog_rdk_487"/>
                <w:id w:val="57588079"/>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-$ 1,237</w:t>
                    </w:r>
                  </w:p>
                </w:tc>
              </w:sdtContent>
            </w:sdt>
          </w:tr>
          <w:tr w:rsidR="00743DA6">
            <w:trPr>
              <w:trHeight w:val="1575"/>
            </w:trPr>
            <w:sdt>
              <w:sdtPr>
                <w:tag w:val="goog_rdk_488"/>
                <w:id w:val="1671818818"/>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Realizar 14 Estudio(s) de volúmenes, Comparativo de precios y Percepción de clientes para identificar la participación de las PDM en el abastecimiento alimentario de la ciudad</w:t>
                    </w:r>
                  </w:p>
                </w:tc>
              </w:sdtContent>
            </w:sdt>
            <w:sdt>
              <w:sdtPr>
                <w:tag w:val="goog_rdk_489"/>
                <w:id w:val="1224260699"/>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$ 919</w:t>
                    </w:r>
                  </w:p>
                </w:tc>
              </w:sdtContent>
            </w:sdt>
            <w:sdt>
              <w:sdtPr>
                <w:tag w:val="goog_rdk_490"/>
                <w:id w:val="1835718560"/>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$ 661</w:t>
                    </w:r>
                  </w:p>
                </w:tc>
              </w:sdtContent>
            </w:sdt>
            <w:sdt>
              <w:sdtPr>
                <w:tag w:val="goog_rdk_491"/>
                <w:id w:val="151193251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$ 250</w:t>
                    </w:r>
                  </w:p>
                </w:tc>
              </w:sdtContent>
            </w:sdt>
            <w:sdt>
              <w:sdtPr>
                <w:tag w:val="goog_rdk_492"/>
                <w:id w:val="-2047421018"/>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$ 410</w:t>
                    </w:r>
                  </w:p>
                </w:tc>
              </w:sdtContent>
            </w:sdt>
            <w:sdt>
              <w:sdtPr>
                <w:tag w:val="goog_rdk_493"/>
                <w:id w:val="-1441384364"/>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-$ 509</w:t>
                    </w:r>
                  </w:p>
                </w:tc>
              </w:sdtContent>
            </w:sdt>
          </w:tr>
          <w:tr w:rsidR="00743DA6">
            <w:trPr>
              <w:trHeight w:val="1230"/>
            </w:trPr>
            <w:sdt>
              <w:sdtPr>
                <w:tag w:val="goog_rdk_494"/>
                <w:id w:val="490587275"/>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Implementar 4 Plan(es) de intervención a la infraestructura de las Plazas Distritales de Mercado.</w:t>
                    </w:r>
                  </w:p>
                </w:tc>
              </w:sdtContent>
            </w:sdt>
            <w:sdt>
              <w:sdtPr>
                <w:tag w:val="goog_rdk_495"/>
                <w:id w:val="-155739416"/>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$ 10,374</w:t>
                    </w:r>
                  </w:p>
                </w:tc>
              </w:sdtContent>
            </w:sdt>
            <w:sdt>
              <w:sdtPr>
                <w:tag w:val="goog_rdk_496"/>
                <w:id w:val="-1167768399"/>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$ 6,419</w:t>
                    </w:r>
                  </w:p>
                </w:tc>
              </w:sdtContent>
            </w:sdt>
            <w:sdt>
              <w:sdtPr>
                <w:tag w:val="goog_rdk_497"/>
                <w:id w:val="1385993003"/>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$ 2,225</w:t>
                    </w:r>
                  </w:p>
                </w:tc>
              </w:sdtContent>
            </w:sdt>
            <w:sdt>
              <w:sdtPr>
                <w:tag w:val="goog_rdk_498"/>
                <w:id w:val="987971601"/>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$ 6,127</w:t>
                    </w:r>
                  </w:p>
                </w:tc>
              </w:sdtContent>
            </w:sdt>
            <w:sdt>
              <w:sdtPr>
                <w:tag w:val="goog_rdk_499"/>
                <w:id w:val="2104489452"/>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-$ 4,247</w:t>
                    </w:r>
                  </w:p>
                </w:tc>
              </w:sdtContent>
            </w:sdt>
          </w:tr>
          <w:tr w:rsidR="00743DA6">
            <w:trPr>
              <w:trHeight w:val="690"/>
            </w:trPr>
            <w:sdt>
              <w:sdtPr>
                <w:tag w:val="goog_rdk_500"/>
                <w:id w:val="-1063177411"/>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Implementar 4 Plan(es) de intervención para el embellecimiento en sus diferentes Plazas Distritales de Mercado.</w:t>
                    </w:r>
                  </w:p>
                </w:tc>
              </w:sdtContent>
            </w:sdt>
            <w:sdt>
              <w:sdtPr>
                <w:tag w:val="goog_rdk_501"/>
                <w:id w:val="-324686163"/>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$ 1,144</w:t>
                    </w:r>
                  </w:p>
                </w:tc>
              </w:sdtContent>
            </w:sdt>
            <w:sdt>
              <w:sdtPr>
                <w:tag w:val="goog_rdk_502"/>
                <w:id w:val="-1586961408"/>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w:t>
                    </w:r>
                  </w:p>
                </w:tc>
              </w:sdtContent>
            </w:sdt>
            <w:sdt>
              <w:sdtPr>
                <w:tag w:val="goog_rdk_503"/>
                <w:id w:val="1909715977"/>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w:t>
                    </w:r>
                  </w:p>
                </w:tc>
              </w:sdtContent>
            </w:sdt>
            <w:sdt>
              <w:sdtPr>
                <w:tag w:val="goog_rdk_504"/>
                <w:id w:val="1022788681"/>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$ 866</w:t>
                    </w:r>
                  </w:p>
                </w:tc>
              </w:sdtContent>
            </w:sdt>
            <w:sdt>
              <w:sdtPr>
                <w:tag w:val="goog_rdk_505"/>
                <w:id w:val="-1460907217"/>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-$ 279</w:t>
                    </w:r>
                  </w:p>
                </w:tc>
              </w:sdtContent>
            </w:sdt>
          </w:tr>
          <w:tr w:rsidR="00743DA6">
            <w:trPr>
              <w:trHeight w:val="1710"/>
            </w:trPr>
            <w:sdt>
              <w:sdtPr>
                <w:tag w:val="goog_rdk_506"/>
                <w:id w:val="72838884"/>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Realizar 42 Fortalecimiento(s) psicosociales y de bienestar dirigido a los comerciantes y sus familias.</w:t>
                    </w:r>
                  </w:p>
                </w:tc>
              </w:sdtContent>
            </w:sdt>
            <w:sdt>
              <w:sdtPr>
                <w:tag w:val="goog_rdk_507"/>
                <w:id w:val="-722409303"/>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$ 227</w:t>
                    </w:r>
                  </w:p>
                </w:tc>
              </w:sdtContent>
            </w:sdt>
            <w:sdt>
              <w:sdtPr>
                <w:tag w:val="goog_rdk_508"/>
                <w:id w:val="-1543769875"/>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$ 227</w:t>
                    </w:r>
                  </w:p>
                </w:tc>
              </w:sdtContent>
            </w:sdt>
            <w:sdt>
              <w:sdtPr>
                <w:tag w:val="goog_rdk_509"/>
                <w:id w:val="-136397704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$ 33</w:t>
                    </w:r>
                  </w:p>
                </w:tc>
              </w:sdtContent>
            </w:sdt>
            <w:sdt>
              <w:sdtPr>
                <w:tag w:val="goog_rdk_510"/>
                <w:id w:val="1297471927"/>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$ 150</w:t>
                    </w:r>
                  </w:p>
                </w:tc>
              </w:sdtContent>
            </w:sdt>
            <w:sdt>
              <w:sdtPr>
                <w:tag w:val="goog_rdk_511"/>
                <w:id w:val="-604999405"/>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-$ 77</w:t>
                    </w:r>
                  </w:p>
                </w:tc>
              </w:sdtContent>
            </w:sdt>
          </w:tr>
          <w:tr w:rsidR="00743DA6">
            <w:trPr>
              <w:trHeight w:val="1410"/>
            </w:trPr>
            <w:sdt>
              <w:sdtPr>
                <w:tag w:val="goog_rdk_512"/>
                <w:id w:val="-1538997968"/>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Formar a 800 Vendedor(es) de la economía informal y sus familias en habilidades blandas a través de la Ruta de Orientación para el empleo del IPES.</w:t>
                    </w:r>
                  </w:p>
                </w:tc>
              </w:sdtContent>
            </w:sdt>
            <w:sdt>
              <w:sdtPr>
                <w:tag w:val="goog_rdk_513"/>
                <w:id w:val="1458846641"/>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$ 156</w:t>
                    </w:r>
                  </w:p>
                </w:tc>
              </w:sdtContent>
            </w:sdt>
            <w:sdt>
              <w:sdtPr>
                <w:tag w:val="goog_rdk_514"/>
                <w:id w:val="590100364"/>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$ 134</w:t>
                    </w:r>
                  </w:p>
                </w:tc>
              </w:sdtContent>
            </w:sdt>
            <w:sdt>
              <w:sdtPr>
                <w:tag w:val="goog_rdk_515"/>
                <w:id w:val="1562401650"/>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$ 90</w:t>
                    </w:r>
                  </w:p>
                </w:tc>
              </w:sdtContent>
            </w:sdt>
            <w:sdt>
              <w:sdtPr>
                <w:tag w:val="goog_rdk_516"/>
                <w:id w:val="-1650501694"/>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$ 151</w:t>
                    </w:r>
                  </w:p>
                </w:tc>
              </w:sdtContent>
            </w:sdt>
            <w:sdt>
              <w:sdtPr>
                <w:tag w:val="goog_rdk_517"/>
                <w:id w:val="1986969868"/>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-$ 5</w:t>
                    </w:r>
                  </w:p>
                </w:tc>
              </w:sdtContent>
            </w:sdt>
          </w:tr>
          <w:tr w:rsidR="00743DA6">
            <w:trPr>
              <w:trHeight w:val="735"/>
            </w:trPr>
            <w:sdt>
              <w:sdtPr>
                <w:tag w:val="goog_rdk_518"/>
                <w:id w:val="1481664915"/>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Adelantar 50000 Registro(s) , identificaciones, caracterizaciones, y/o actualizaciones de datos de vendedores informales para su reconocimiento y vinculación a bienes y servicios institucionales</w:t>
                    </w:r>
                  </w:p>
                </w:tc>
              </w:sdtContent>
            </w:sdt>
            <w:sdt>
              <w:sdtPr>
                <w:tag w:val="goog_rdk_519"/>
                <w:id w:val="-1767842898"/>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$ 1,548</w:t>
                    </w:r>
                  </w:p>
                </w:tc>
              </w:sdtContent>
            </w:sdt>
            <w:sdt>
              <w:sdtPr>
                <w:tag w:val="goog_rdk_520"/>
                <w:id w:val="1554681108"/>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$ 1,548</w:t>
                    </w:r>
                  </w:p>
                </w:tc>
              </w:sdtContent>
            </w:sdt>
            <w:sdt>
              <w:sdtPr>
                <w:tag w:val="goog_rdk_521"/>
                <w:id w:val="32638518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$ 1,174</w:t>
                    </w:r>
                  </w:p>
                </w:tc>
              </w:sdtContent>
            </w:sdt>
            <w:sdt>
              <w:sdtPr>
                <w:tag w:val="goog_rdk_522"/>
                <w:id w:val="-630808308"/>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$ 1,374</w:t>
                    </w:r>
                  </w:p>
                </w:tc>
              </w:sdtContent>
            </w:sdt>
            <w:sdt>
              <w:sdtPr>
                <w:tag w:val="goog_rdk_523"/>
                <w:id w:val="1597182960"/>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-$ 174</w:t>
                    </w:r>
                  </w:p>
                </w:tc>
              </w:sdtContent>
            </w:sdt>
          </w:tr>
          <w:tr w:rsidR="00743DA6">
            <w:trPr>
              <w:trHeight w:val="810"/>
            </w:trPr>
            <w:sdt>
              <w:sdtPr>
                <w:tag w:val="goog_rdk_524"/>
                <w:id w:val="-1597253515"/>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Asistir 1110 Unidad(es) de negocio técnica y empresarialmente conforme a las características de las mismas.</w:t>
                    </w:r>
                  </w:p>
                </w:tc>
              </w:sdtContent>
            </w:sdt>
            <w:sdt>
              <w:sdtPr>
                <w:tag w:val="goog_rdk_525"/>
                <w:id w:val="-444075203"/>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$ 955</w:t>
                    </w:r>
                  </w:p>
                </w:tc>
              </w:sdtContent>
            </w:sdt>
            <w:sdt>
              <w:sdtPr>
                <w:tag w:val="goog_rdk_526"/>
                <w:id w:val="-1084247494"/>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$ 824</w:t>
                    </w:r>
                  </w:p>
                </w:tc>
              </w:sdtContent>
            </w:sdt>
            <w:sdt>
              <w:sdtPr>
                <w:tag w:val="goog_rdk_527"/>
                <w:id w:val="-149514405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$ 249</w:t>
                    </w:r>
                  </w:p>
                </w:tc>
              </w:sdtContent>
            </w:sdt>
            <w:sdt>
              <w:sdtPr>
                <w:tag w:val="goog_rdk_528"/>
                <w:id w:val="-372225397"/>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$ 793</w:t>
                    </w:r>
                  </w:p>
                </w:tc>
              </w:sdtContent>
            </w:sdt>
            <w:sdt>
              <w:sdtPr>
                <w:tag w:val="goog_rdk_529"/>
                <w:id w:val="-433140474"/>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-$ 163</w:t>
                    </w:r>
                  </w:p>
                </w:tc>
              </w:sdtContent>
            </w:sdt>
          </w:tr>
          <w:tr w:rsidR="00743DA6">
            <w:trPr>
              <w:trHeight w:val="1065"/>
            </w:trPr>
            <w:sdt>
              <w:sdtPr>
                <w:tag w:val="goog_rdk_530"/>
                <w:id w:val="941569535"/>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Generar 21 Espacio(s) para las unidades de negocio en procesos de educación e inclusión financiera</w:t>
                    </w:r>
                  </w:p>
                </w:tc>
              </w:sdtContent>
            </w:sdt>
            <w:sdt>
              <w:sdtPr>
                <w:tag w:val="goog_rdk_531"/>
                <w:id w:val="1786719550"/>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$ 164</w:t>
                    </w:r>
                  </w:p>
                </w:tc>
              </w:sdtContent>
            </w:sdt>
            <w:sdt>
              <w:sdtPr>
                <w:tag w:val="goog_rdk_532"/>
                <w:id w:val="-1446880793"/>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$ 164</w:t>
                    </w:r>
                  </w:p>
                </w:tc>
              </w:sdtContent>
            </w:sdt>
            <w:sdt>
              <w:sdtPr>
                <w:tag w:val="goog_rdk_533"/>
                <w:id w:val="19349205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w:t>
                    </w:r>
                  </w:p>
                </w:tc>
              </w:sdtContent>
            </w:sdt>
            <w:sdt>
              <w:sdtPr>
                <w:tag w:val="goog_rdk_534"/>
                <w:id w:val="-2083291858"/>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$ 60</w:t>
                    </w:r>
                  </w:p>
                </w:tc>
              </w:sdtContent>
            </w:sdt>
            <w:sdt>
              <w:sdtPr>
                <w:tag w:val="goog_rdk_535"/>
                <w:id w:val="-500232326"/>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-$ 103</w:t>
                    </w:r>
                  </w:p>
                </w:tc>
              </w:sdtContent>
            </w:sdt>
          </w:tr>
          <w:tr w:rsidR="00743DA6">
            <w:trPr>
              <w:trHeight w:val="1395"/>
            </w:trPr>
            <w:sdt>
              <w:sdtPr>
                <w:tag w:val="goog_rdk_536"/>
                <w:id w:val="1052670630"/>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Establecer 21 Oportunidad(es) de comercialización a través de diferentes estrategias que favorezcan el potencial productivo de las unidades de negocio</w:t>
                    </w:r>
                  </w:p>
                </w:tc>
              </w:sdtContent>
            </w:sdt>
            <w:sdt>
              <w:sdtPr>
                <w:tag w:val="goog_rdk_537"/>
                <w:id w:val="-24400941"/>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$ 582</w:t>
                    </w:r>
                  </w:p>
                </w:tc>
              </w:sdtContent>
            </w:sdt>
            <w:sdt>
              <w:sdtPr>
                <w:tag w:val="goog_rdk_538"/>
                <w:id w:val="2053722825"/>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$ 530</w:t>
                    </w:r>
                  </w:p>
                </w:tc>
              </w:sdtContent>
            </w:sdt>
            <w:sdt>
              <w:sdtPr>
                <w:tag w:val="goog_rdk_539"/>
                <w:id w:val="-106562147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$ 190</w:t>
                    </w:r>
                  </w:p>
                </w:tc>
              </w:sdtContent>
            </w:sdt>
            <w:sdt>
              <w:sdtPr>
                <w:tag w:val="goog_rdk_540"/>
                <w:id w:val="131107646"/>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$ 138</w:t>
                    </w:r>
                  </w:p>
                </w:tc>
              </w:sdtContent>
            </w:sdt>
            <w:sdt>
              <w:sdtPr>
                <w:tag w:val="goog_rdk_541"/>
                <w:id w:val="1073741546"/>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-$ 443</w:t>
                    </w:r>
                  </w:p>
                </w:tc>
              </w:sdtContent>
            </w:sdt>
          </w:tr>
          <w:tr w:rsidR="00743DA6">
            <w:trPr>
              <w:trHeight w:val="960"/>
            </w:trPr>
            <w:sdt>
              <w:sdtPr>
                <w:tag w:val="goog_rdk_542"/>
                <w:id w:val="-406483135"/>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Fortalecer el 100 Porciento la gestión del conocimiento e innovación entre los colaboradores de la entidad</w:t>
                    </w:r>
                  </w:p>
                </w:tc>
              </w:sdtContent>
            </w:sdt>
            <w:sdt>
              <w:sdtPr>
                <w:tag w:val="goog_rdk_543"/>
                <w:id w:val="-861123208"/>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$ 1,615</w:t>
                    </w:r>
                  </w:p>
                </w:tc>
              </w:sdtContent>
            </w:sdt>
            <w:sdt>
              <w:sdtPr>
                <w:tag w:val="goog_rdk_544"/>
                <w:id w:val="2133069070"/>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$ 903</w:t>
                    </w:r>
                  </w:p>
                </w:tc>
              </w:sdtContent>
            </w:sdt>
            <w:sdt>
              <w:sdtPr>
                <w:tag w:val="goog_rdk_545"/>
                <w:id w:val="-119860438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$ 549</w:t>
                    </w:r>
                  </w:p>
                </w:tc>
              </w:sdtContent>
            </w:sdt>
            <w:sdt>
              <w:sdtPr>
                <w:tag w:val="goog_rdk_546"/>
                <w:id w:val="-1129416396"/>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$ 430</w:t>
                    </w:r>
                  </w:p>
                </w:tc>
              </w:sdtContent>
            </w:sdt>
            <w:sdt>
              <w:sdtPr>
                <w:tag w:val="goog_rdk_547"/>
                <w:id w:val="5601728"/>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-$ 1,185</w:t>
                    </w:r>
                  </w:p>
                </w:tc>
              </w:sdtContent>
            </w:sdt>
          </w:tr>
          <w:tr w:rsidR="00743DA6">
            <w:trPr>
              <w:trHeight w:val="1080"/>
            </w:trPr>
            <w:sdt>
              <w:sdtPr>
                <w:tag w:val="goog_rdk_548"/>
                <w:id w:val="-2096025142"/>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Ajustar el 100 Porciento de los tramites y OPASS de acuerdo a las necesidades y expectativas de los grupos de valor</w:t>
                    </w:r>
                  </w:p>
                </w:tc>
              </w:sdtContent>
            </w:sdt>
            <w:sdt>
              <w:sdtPr>
                <w:tag w:val="goog_rdk_549"/>
                <w:id w:val="562386381"/>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$ 304</w:t>
                    </w:r>
                  </w:p>
                </w:tc>
              </w:sdtContent>
            </w:sdt>
            <w:sdt>
              <w:sdtPr>
                <w:tag w:val="goog_rdk_550"/>
                <w:id w:val="227473682"/>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$ 217</w:t>
                    </w:r>
                  </w:p>
                </w:tc>
              </w:sdtContent>
            </w:sdt>
            <w:sdt>
              <w:sdtPr>
                <w:tag w:val="goog_rdk_551"/>
                <w:id w:val="-178860786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$ 122</w:t>
                    </w:r>
                  </w:p>
                </w:tc>
              </w:sdtContent>
            </w:sdt>
            <w:sdt>
              <w:sdtPr>
                <w:tag w:val="goog_rdk_552"/>
                <w:id w:val="-556748234"/>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$ 200</w:t>
                    </w:r>
                  </w:p>
                </w:tc>
              </w:sdtContent>
            </w:sdt>
            <w:sdt>
              <w:sdtPr>
                <w:tag w:val="goog_rdk_553"/>
                <w:id w:val="220388874"/>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-$ 104</w:t>
                    </w:r>
                  </w:p>
                </w:tc>
              </w:sdtContent>
            </w:sdt>
          </w:tr>
          <w:tr w:rsidR="00743DA6">
            <w:trPr>
              <w:trHeight w:val="1020"/>
            </w:trPr>
            <w:sdt>
              <w:sdtPr>
                <w:tag w:val="goog_rdk_554"/>
                <w:id w:val="-226649056"/>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Promover el 100 Porciento de los mecanismos de participación para la mejora continua de los servicios.</w:t>
                    </w:r>
                  </w:p>
                </w:tc>
              </w:sdtContent>
            </w:sdt>
            <w:sdt>
              <w:sdtPr>
                <w:tag w:val="goog_rdk_555"/>
                <w:id w:val="521461187"/>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$ 412</w:t>
                    </w:r>
                  </w:p>
                </w:tc>
              </w:sdtContent>
            </w:sdt>
            <w:sdt>
              <w:sdtPr>
                <w:tag w:val="goog_rdk_556"/>
                <w:id w:val="-1293911168"/>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$ 412</w:t>
                    </w:r>
                  </w:p>
                </w:tc>
              </w:sdtContent>
            </w:sdt>
            <w:sdt>
              <w:sdtPr>
                <w:tag w:val="goog_rdk_557"/>
                <w:id w:val="-1769269657"/>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$ 235</w:t>
                    </w:r>
                  </w:p>
                </w:tc>
              </w:sdtContent>
            </w:sdt>
            <w:sdt>
              <w:sdtPr>
                <w:tag w:val="goog_rdk_558"/>
                <w:id w:val="-1624152583"/>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$ 232</w:t>
                    </w:r>
                  </w:p>
                </w:tc>
              </w:sdtContent>
            </w:sdt>
            <w:sdt>
              <w:sdtPr>
                <w:tag w:val="goog_rdk_559"/>
                <w:id w:val="-577193413"/>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-$ 180</w:t>
                    </w:r>
                  </w:p>
                </w:tc>
              </w:sdtContent>
            </w:sdt>
          </w:tr>
          <w:tr w:rsidR="00743DA6">
            <w:trPr>
              <w:trHeight w:val="1035"/>
            </w:trPr>
            <w:sdt>
              <w:sdtPr>
                <w:tag w:val="goog_rdk_560"/>
                <w:id w:val="-1805440967"/>
                <w:lock w:val="contentLocked"/>
              </w:sdtPr>
              <w:sdtEndPr/>
              <w:sdtContent>
                <w:tc>
                  <w:tcPr>
                    <w:tcW w:w="38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Mejorar en 100 Porciento los sistemas de información de la entidad en la gobernanza de datos, interoperabilidad de datos y la analítica de datos</w:t>
                    </w:r>
                  </w:p>
                </w:tc>
              </w:sdtContent>
            </w:sdt>
            <w:sdt>
              <w:sdtPr>
                <w:tag w:val="goog_rdk_561"/>
                <w:id w:val="-356999474"/>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$ 874</w:t>
                    </w:r>
                  </w:p>
                </w:tc>
              </w:sdtContent>
            </w:sdt>
            <w:sdt>
              <w:sdtPr>
                <w:tag w:val="goog_rdk_562"/>
                <w:id w:val="1959687013"/>
                <w:lock w:val="contentLocked"/>
              </w:sdtPr>
              <w:sdtEndPr/>
              <w:sdtContent>
                <w:tc>
                  <w:tcPr>
                    <w:tcW w:w="11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$ 654</w:t>
                    </w:r>
                  </w:p>
                </w:tc>
              </w:sdtContent>
            </w:sdt>
            <w:sdt>
              <w:sdtPr>
                <w:tag w:val="goog_rdk_563"/>
                <w:id w:val="-111434779"/>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$ 167</w:t>
                    </w:r>
                  </w:p>
                </w:tc>
              </w:sdtContent>
            </w:sdt>
            <w:sdt>
              <w:sdtPr>
                <w:tag w:val="goog_rdk_564"/>
                <w:id w:val="436489220"/>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$ 669</w:t>
                    </w:r>
                  </w:p>
                </w:tc>
              </w:sdtContent>
            </w:sdt>
            <w:sdt>
              <w:sdtPr>
                <w:tag w:val="goog_rdk_565"/>
                <w:id w:val="-318208444"/>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-$ 204</w:t>
                    </w:r>
                  </w:p>
                </w:tc>
              </w:sdtContent>
            </w:sdt>
          </w:tr>
        </w:tbl>
      </w:sdtContent>
    </w:sdt>
    <w:p w:rsidR="00743DA6" w:rsidRDefault="00D95D19">
      <w:pPr>
        <w:spacing w:line="276" w:lineRule="auto"/>
        <w:jc w:val="both"/>
      </w:pP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line="259" w:lineRule="auto"/>
        <w:jc w:val="both"/>
        <w:rPr>
          <w:sz w:val="22"/>
          <w:szCs w:val="22"/>
        </w:rPr>
      </w:pPr>
      <w:r>
        <w:rPr>
          <w:sz w:val="22"/>
          <w:szCs w:val="22"/>
        </w:rPr>
        <w:t>Las variaciones presupuestales proyectadas para 2026 se concentran en los componentes que en 2025 presentaron mayores rezagos en su implementación, lo que genera ajustes relevantes en áreas estratégicas para la operación del IPES. En el eje de infraestructura, la actividad destinada a implementar los planes de intervención en las Plazas Distritales de Mercado registra la disminución más amplia, con –$4.247 millones, luego de cerrar 2025 con un nivel de ejecución del 21,4 %. Este comportamiento sugiere que las obras de mantenimiento y adecuación no avanzaron en la proporción inicialmente prevista, y que la programación para 2026 se ajusta para reflejar ese ritmo real de operación. Algo similar ocurre en las acciones orientadas al acompañamiento a vendedores informales en zonas de aglomeración, cuya asignación se reduce en –$1.448 millones, tras haber ejecutado 53,4 % de los recursos en la vigencia anterior. Esta variación indica un redimensionamiento de las estrategias asociadas al ordenamiento y sostenibilidad del espacio público para el nuevo periodo.</w:t>
      </w:r>
    </w:p>
    <w:p w:rsidR="00743DA6" w:rsidRDefault="00D95D19">
      <w:pPr>
        <w:spacing w:before="240" w:after="240" w:line="259" w:lineRule="auto"/>
        <w:jc w:val="both"/>
        <w:rPr>
          <w:sz w:val="22"/>
          <w:szCs w:val="22"/>
        </w:rPr>
      </w:pPr>
      <w:r>
        <w:rPr>
          <w:sz w:val="22"/>
          <w:szCs w:val="22"/>
        </w:rPr>
        <w:t>Un ajuste adicional se presenta en las actividades de dinamización comercial y fortalecimiento empresarial, que incluyen festivales gastronómicos, vitrinas y estrategias de promoción de las Plazas de Mercado. Para 2026, este componente disminuye en –$1.237 millones, después de haber alcanzado una ejecución del 24,1 % durante 2025. Esta reducción refleja que las acciones de promoción comercial no lograron consolidar la programación prevista y que el presupuesto del próximo año se readecúa en función de esa capacidad demostrada. En conjunto, estas variaciones muestran una reorganización de la escala de las intervenciones, en la que la entidad ajusta sus proyecciones presupuestales a los ritmos operativos observados, al tiempo que se abren espacios para revisar capacidades, procesos y condiciones institucionales necesarias para fortalecer estos frentes en vigencias futuras.</w:t>
      </w:r>
    </w:p>
    <w:p w:rsidR="00743DA6" w:rsidRDefault="00D95D19">
      <w:pPr>
        <w:spacing w:before="240" w:after="240" w:line="259" w:lineRule="auto"/>
        <w:jc w:val="both"/>
        <w:rPr>
          <w:b/>
          <w:bCs/>
          <w:sz w:val="22"/>
          <w:szCs w:val="22"/>
        </w:rPr>
      </w:pPr>
      <w:r>
        <w:rPr>
          <w:b/>
          <w:bCs/>
          <w:sz w:val="22"/>
          <w:szCs w:val="22"/>
        </w:rPr>
        <w:t>Petición de Aumento Presupuestal</w:t>
      </w:r>
    </w:p>
    <w:p w:rsidR="00743DA6" w:rsidRDefault="00D95D19">
      <w:pPr>
        <w:spacing w:before="240" w:after="240" w:line="259" w:lineRule="auto"/>
        <w:jc w:val="both"/>
        <w:rPr>
          <w:sz w:val="22"/>
          <w:szCs w:val="22"/>
        </w:rPr>
      </w:pPr>
      <w:r>
        <w:rPr>
          <w:sz w:val="22"/>
          <w:szCs w:val="22"/>
        </w:rPr>
        <w:t>Aunque la actividad de “Implementar 4 planes de intervención a la infraestructura de las Plazas Distritales de Mercado” sufrió un recorte de –$4.247 millones como consecuencia directa de una baja ejecución del 21,4% en 2025, esta reducción no puede convertirse en argumento para desfinanciar estructuralmente un sector cuya infraestructura presenta deterioros acumulados que comprometen la seguridad, la salubridad y la competitividad del sistema distrital de plazas. La baja ejecución no refleja falta de necesidad, sino fallas operativas corregibles: retrasos en diseños, procesos contractuales fragmentados y ausencia de una programación plurianual. Por ello, fortalecer esta actividad no implica premiar la ineficiencia, sino corregir la causa estructural del rezago, dotando al IPES de un presupuesto realista que permita ejecutar obras de escala suficiente y no intervenciones parciales que terminan inconclusas.</w:t>
      </w:r>
    </w:p>
    <w:p w:rsidR="00743DA6" w:rsidRDefault="00D95D19">
      <w:pPr>
        <w:spacing w:before="240" w:after="240" w:line="259" w:lineRule="auto"/>
        <w:jc w:val="both"/>
        <w:rPr>
          <w:b/>
          <w:bCs/>
          <w:sz w:val="22"/>
          <w:szCs w:val="22"/>
        </w:rPr>
      </w:pPr>
      <w:r>
        <w:rPr>
          <w:sz w:val="22"/>
          <w:szCs w:val="22"/>
        </w:rPr>
        <w:t>Además, las plazas requieren inversiones mínimas de sostenibilidad —cubiertas, redes de aguas, pisos sanitarios, manejo de residuos, cámaras de frío, accesibilidad, sistemas eléctricos y mitigación de riesgo— cuyo costo supera ampliamente la apropiación actual. La asignación adicional de $6.000 millones permitiría cerrar las brechas críticas identificadas por la propia entidad, garantizar continuidad de obras ya formuladas y evitar que las plazas entren en un ciclo de deterioro irreversible. No se trata de inflar el presupuesto sino de alinearlo con estándares técnicos y sanitarios obligatorios, y de dar a los comerciantes una infraestructura digna que impulse el abastecimiento, los mercados campesinos y la economía popular. En síntesis, el aumento solicitado no es un gasto superfluo, sino una corrección estratégica necesaria frente al rezago histórico de mantenimiento y a la urgencia de mejorar unas infraestructuras que cumplen un rol público esencial en la seguridad alimentaria de Bogotá.</w:t>
      </w:r>
    </w:p>
    <w:p w:rsidR="00743DA6" w:rsidRDefault="00D95D19">
      <w:pPr>
        <w:spacing w:before="240" w:after="240" w:line="259" w:lineRule="auto"/>
        <w:jc w:val="both"/>
        <w:rPr>
          <w:b/>
          <w:bCs/>
          <w:sz w:val="22"/>
          <w:szCs w:val="22"/>
        </w:rPr>
      </w:pPr>
      <w:r>
        <w:rPr>
          <w:b/>
          <w:bCs/>
          <w:sz w:val="22"/>
          <w:szCs w:val="22"/>
        </w:rPr>
        <w:t>Tabla No. 38. Análisis actividades con Aumento Presupuestal</w:t>
      </w:r>
    </w:p>
    <w:sdt>
      <w:sdtPr>
        <w:rPr>
          <w:rFonts w:ascii="Arial" w:eastAsia="Arial" w:hAnsi="Arial" w:cs="Arial"/>
          <w:sz w:val="24"/>
          <w:szCs w:val="24"/>
          <w:lang w:val="es" w:eastAsia="es-CO"/>
        </w:rPr>
        <w:tag w:val="goog_rdk_633"/>
        <w:id w:val="-1522805415"/>
        <w:lock w:val="contentLocked"/>
      </w:sdtPr>
      <w:sdtEndPr/>
      <w:sdtContent>
        <w:tbl>
          <w:tblPr>
            <w:tblStyle w:val="afffffff2"/>
            <w:tblW w:w="8820" w:type="dxa"/>
            <w:tblBorders>
              <w:top w:val="nil"/>
              <w:left w:val="nil"/>
              <w:bottom w:val="nil"/>
              <w:right w:val="nil"/>
              <w:insideH w:val="nil"/>
              <w:insideV w:val="nil"/>
            </w:tblBorders>
            <w:tblLayout w:type="fixed"/>
            <w:tblLook w:val="0600" w:firstRow="0" w:lastRow="0" w:firstColumn="0" w:lastColumn="0" w:noHBand="1" w:noVBand="1"/>
          </w:tblPr>
          <w:tblGrid>
            <w:gridCol w:w="3555"/>
            <w:gridCol w:w="1125"/>
            <w:gridCol w:w="975"/>
            <w:gridCol w:w="915"/>
            <w:gridCol w:w="1185"/>
            <w:gridCol w:w="1065"/>
          </w:tblGrid>
          <w:tr w:rsidR="00743DA6">
            <w:trPr>
              <w:trHeight w:val="540"/>
            </w:trPr>
            <w:tc>
              <w:tcPr>
                <w:tcW w:w="8820" w:type="dxa"/>
                <w:gridSpan w:val="6"/>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jc w:val="center"/>
                  <w:rPr>
                    <w:rFonts w:ascii="Arial" w:eastAsia="Arial" w:hAnsi="Arial" w:cs="Arial"/>
                    <w:b/>
                    <w:bCs/>
                  </w:rPr>
                </w:pPr>
                <w:r>
                  <w:rPr>
                    <w:rFonts w:ascii="Arial" w:eastAsia="Arial" w:hAnsi="Arial" w:cs="Arial"/>
                    <w:b/>
                    <w:bCs/>
                  </w:rPr>
                  <w:t>Actividades con Aumento Presupuestal IPES 2025 - 2026</w:t>
                </w:r>
              </w:p>
            </w:tc>
          </w:tr>
          <w:tr w:rsidR="00743DA6">
            <w:trPr>
              <w:trHeight w:val="540"/>
            </w:trPr>
            <w:sdt>
              <w:sdtPr>
                <w:tag w:val="goog_rdk_567"/>
                <w:id w:val="942341344"/>
                <w:lock w:val="contentLocked"/>
              </w:sdtPr>
              <w:sdtEndPr/>
              <w:sdtContent>
                <w:tc>
                  <w:tcPr>
                    <w:tcW w:w="3555" w:type="dxa"/>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ACTIVIDAD</w:t>
                    </w:r>
                  </w:p>
                </w:tc>
              </w:sdtContent>
            </w:sdt>
            <w:sdt>
              <w:sdtPr>
                <w:tag w:val="goog_rdk_568"/>
                <w:id w:val="338398580"/>
                <w:lock w:val="contentLocked"/>
              </w:sdtPr>
              <w:sdtEndPr/>
              <w:sdtContent>
                <w:tc>
                  <w:tcPr>
                    <w:tcW w:w="112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2025</w:t>
                    </w:r>
                  </w:p>
                </w:tc>
              </w:sdtContent>
            </w:sdt>
            <w:sdt>
              <w:sdtPr>
                <w:tag w:val="goog_rdk_569"/>
                <w:id w:val="859384437"/>
                <w:lock w:val="contentLocked"/>
              </w:sdtPr>
              <w:sdtEndPr/>
              <w:sdtContent>
                <w:tc>
                  <w:tcPr>
                    <w:tcW w:w="97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CONTRATADO 2025</w:t>
                    </w:r>
                  </w:p>
                </w:tc>
              </w:sdtContent>
            </w:sdt>
            <w:sdt>
              <w:sdtPr>
                <w:tag w:val="goog_rdk_570"/>
                <w:id w:val="-1497839369"/>
                <w:lock w:val="contentLocked"/>
              </w:sdtPr>
              <w:sdtEndPr/>
              <w:sdtContent>
                <w:tc>
                  <w:tcPr>
                    <w:tcW w:w="91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GIRADO 2025</w:t>
                    </w:r>
                  </w:p>
                </w:tc>
              </w:sdtContent>
            </w:sdt>
            <w:sdt>
              <w:sdtPr>
                <w:tag w:val="goog_rdk_571"/>
                <w:id w:val="196329875"/>
                <w:lock w:val="contentLocked"/>
              </w:sdtPr>
              <w:sdtEndPr/>
              <w:sdtContent>
                <w:tc>
                  <w:tcPr>
                    <w:tcW w:w="118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2026</w:t>
                    </w:r>
                  </w:p>
                </w:tc>
              </w:sdtContent>
            </w:sdt>
            <w:sdt>
              <w:sdtPr>
                <w:tag w:val="goog_rdk_572"/>
                <w:id w:val="-578252855"/>
                <w:lock w:val="contentLocked"/>
              </w:sdtPr>
              <w:sdtEndPr/>
              <w:sdtContent>
                <w:tc>
                  <w:tcPr>
                    <w:tcW w:w="106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DIFERENCIA PRESUPUESTO 2025 - 2026</w:t>
                    </w:r>
                  </w:p>
                </w:tc>
              </w:sdtContent>
            </w:sdt>
          </w:tr>
          <w:tr w:rsidR="00743DA6">
            <w:trPr>
              <w:trHeight w:val="1575"/>
            </w:trPr>
            <w:sdt>
              <w:sdtPr>
                <w:tag w:val="goog_rdk_573"/>
                <w:id w:val="1979081967"/>
                <w:lock w:val="contentLocked"/>
              </w:sdtPr>
              <w:sdtEndPr/>
              <w:sdtContent>
                <w:tc>
                  <w:tcPr>
                    <w:tcW w:w="35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Gestionar 7 Alianza(s) que faciliten el relacionamiento público - privado, en función de atender las necesidades de la población vendedora informal en el espacio público.</w:t>
                    </w:r>
                  </w:p>
                </w:tc>
              </w:sdtContent>
            </w:sdt>
            <w:sdt>
              <w:sdtPr>
                <w:tag w:val="goog_rdk_574"/>
                <w:id w:val="-529080506"/>
                <w:lock w:val="contentLocked"/>
              </w:sdtPr>
              <w:sdtEndPr/>
              <w:sdtContent>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$ 354</w:t>
                    </w:r>
                  </w:p>
                </w:tc>
              </w:sdtContent>
            </w:sdt>
            <w:sdt>
              <w:sdtPr>
                <w:tag w:val="goog_rdk_575"/>
                <w:id w:val="-1911349003"/>
                <w:lock w:val="contentLocked"/>
              </w:sdtPr>
              <w:sdtEndPr/>
              <w:sdtContent>
                <w:tc>
                  <w:tcPr>
                    <w:tcW w:w="9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$ 354</w:t>
                    </w:r>
                  </w:p>
                </w:tc>
              </w:sdtContent>
            </w:sdt>
            <w:sdt>
              <w:sdtPr>
                <w:tag w:val="goog_rdk_576"/>
                <w:id w:val="138522462"/>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$ 227</w:t>
                    </w:r>
                  </w:p>
                </w:tc>
              </w:sdtContent>
            </w:sdt>
            <w:sdt>
              <w:sdtPr>
                <w:tag w:val="goog_rdk_577"/>
                <w:id w:val="1548552917"/>
                <w:lock w:val="contentLocked"/>
              </w:sdtPr>
              <w:sdtEndPr/>
              <w:sdtContent>
                <w:tc>
                  <w:tcPr>
                    <w:tcW w:w="118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$ 375</w:t>
                    </w:r>
                  </w:p>
                </w:tc>
              </w:sdtContent>
            </w:sdt>
            <w:sdt>
              <w:sdtPr>
                <w:tag w:val="goog_rdk_578"/>
                <w:id w:val="1990183615"/>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w:t>
                    </w:r>
                  </w:p>
                </w:tc>
              </w:sdtContent>
            </w:sdt>
          </w:tr>
          <w:tr w:rsidR="00743DA6">
            <w:trPr>
              <w:trHeight w:val="1095"/>
            </w:trPr>
            <w:sdt>
              <w:sdtPr>
                <w:tag w:val="goog_rdk_579"/>
                <w:id w:val="510878037"/>
                <w:lock w:val="contentLocked"/>
              </w:sdtPr>
              <w:sdtEndPr/>
              <w:sdtContent>
                <w:tc>
                  <w:tcPr>
                    <w:tcW w:w="35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Administrar 19 Plaza(s) Distritales de mercado según el modelo de gestión y administración.</w:t>
                    </w:r>
                  </w:p>
                </w:tc>
              </w:sdtContent>
            </w:sdt>
            <w:sdt>
              <w:sdtPr>
                <w:tag w:val="goog_rdk_580"/>
                <w:id w:val="726632841"/>
                <w:lock w:val="contentLocked"/>
              </w:sdtPr>
              <w:sdtEndPr/>
              <w:sdtContent>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$ 18,566</w:t>
                    </w:r>
                  </w:p>
                </w:tc>
              </w:sdtContent>
            </w:sdt>
            <w:sdt>
              <w:sdtPr>
                <w:tag w:val="goog_rdk_581"/>
                <w:id w:val="966769334"/>
                <w:lock w:val="contentLocked"/>
              </w:sdtPr>
              <w:sdtEndPr/>
              <w:sdtContent>
                <w:tc>
                  <w:tcPr>
                    <w:tcW w:w="9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$ 13,824</w:t>
                    </w:r>
                  </w:p>
                </w:tc>
              </w:sdtContent>
            </w:sdt>
            <w:sdt>
              <w:sdtPr>
                <w:tag w:val="goog_rdk_582"/>
                <w:id w:val="-2139874442"/>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$ 8,796</w:t>
                    </w:r>
                  </w:p>
                </w:tc>
              </w:sdtContent>
            </w:sdt>
            <w:sdt>
              <w:sdtPr>
                <w:tag w:val="goog_rdk_583"/>
                <w:id w:val="-722527913"/>
                <w:lock w:val="contentLocked"/>
              </w:sdtPr>
              <w:sdtEndPr/>
              <w:sdtContent>
                <w:tc>
                  <w:tcPr>
                    <w:tcW w:w="118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$ 20,095</w:t>
                    </w:r>
                  </w:p>
                </w:tc>
              </w:sdtContent>
            </w:sdt>
            <w:sdt>
              <w:sdtPr>
                <w:tag w:val="goog_rdk_584"/>
                <w:id w:val="-1160816077"/>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$ 1,529</w:t>
                    </w:r>
                  </w:p>
                </w:tc>
              </w:sdtContent>
            </w:sdt>
          </w:tr>
          <w:tr w:rsidR="00743DA6">
            <w:trPr>
              <w:trHeight w:val="1680"/>
            </w:trPr>
            <w:sdt>
              <w:sdtPr>
                <w:tag w:val="goog_rdk_585"/>
                <w:id w:val="-285803766"/>
                <w:lock w:val="contentLocked"/>
              </w:sdtPr>
              <w:sdtEndPr/>
              <w:sdtContent>
                <w:tc>
                  <w:tcPr>
                    <w:tcW w:w="35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Certificar 2400 Vendedor(es) de la economía informal y sus familias en competencias específicas y habilidades laborales.</w:t>
                    </w:r>
                  </w:p>
                </w:tc>
              </w:sdtContent>
            </w:sdt>
            <w:sdt>
              <w:sdtPr>
                <w:tag w:val="goog_rdk_586"/>
                <w:id w:val="-1060021839"/>
                <w:lock w:val="contentLocked"/>
              </w:sdtPr>
              <w:sdtEndPr/>
              <w:sdtContent>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$ 769</w:t>
                    </w:r>
                  </w:p>
                </w:tc>
              </w:sdtContent>
            </w:sdt>
            <w:sdt>
              <w:sdtPr>
                <w:tag w:val="goog_rdk_587"/>
                <w:id w:val="-231427142"/>
                <w:lock w:val="contentLocked"/>
              </w:sdtPr>
              <w:sdtEndPr/>
              <w:sdtContent>
                <w:tc>
                  <w:tcPr>
                    <w:tcW w:w="9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$ 740</w:t>
                    </w:r>
                  </w:p>
                </w:tc>
              </w:sdtContent>
            </w:sdt>
            <w:sdt>
              <w:sdtPr>
                <w:tag w:val="goog_rdk_588"/>
                <w:id w:val="-1521081457"/>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$ 465</w:t>
                    </w:r>
                  </w:p>
                </w:tc>
              </w:sdtContent>
            </w:sdt>
            <w:sdt>
              <w:sdtPr>
                <w:tag w:val="goog_rdk_589"/>
                <w:id w:val="-1580816010"/>
                <w:lock w:val="contentLocked"/>
              </w:sdtPr>
              <w:sdtEndPr/>
              <w:sdtContent>
                <w:tc>
                  <w:tcPr>
                    <w:tcW w:w="118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$ 780</w:t>
                    </w:r>
                  </w:p>
                </w:tc>
              </w:sdtContent>
            </w:sdt>
            <w:sdt>
              <w:sdtPr>
                <w:tag w:val="goog_rdk_590"/>
                <w:id w:val="-1015195441"/>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w:t>
                    </w:r>
                  </w:p>
                </w:tc>
              </w:sdtContent>
            </w:sdt>
          </w:tr>
          <w:tr w:rsidR="00743DA6">
            <w:trPr>
              <w:trHeight w:val="1500"/>
            </w:trPr>
            <w:sdt>
              <w:sdtPr>
                <w:tag w:val="goog_rdk_591"/>
                <w:id w:val="-995866830"/>
                <w:lock w:val="contentLocked"/>
              </w:sdtPr>
              <w:sdtEndPr/>
              <w:sdtContent>
                <w:tc>
                  <w:tcPr>
                    <w:tcW w:w="35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Disponer de 4000 Alternativa(s) comerciales y/o acciones para la generación de ingresos de vendedoras y vendedores informales</w:t>
                    </w:r>
                  </w:p>
                </w:tc>
              </w:sdtContent>
            </w:sdt>
            <w:sdt>
              <w:sdtPr>
                <w:tag w:val="goog_rdk_592"/>
                <w:id w:val="-410080751"/>
                <w:lock w:val="contentLocked"/>
              </w:sdtPr>
              <w:sdtEndPr/>
              <w:sdtContent>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$ 12,889</w:t>
                    </w:r>
                  </w:p>
                </w:tc>
              </w:sdtContent>
            </w:sdt>
            <w:sdt>
              <w:sdtPr>
                <w:tag w:val="goog_rdk_593"/>
                <w:id w:val="1669511091"/>
                <w:lock w:val="contentLocked"/>
              </w:sdtPr>
              <w:sdtEndPr/>
              <w:sdtContent>
                <w:tc>
                  <w:tcPr>
                    <w:tcW w:w="9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$ 9,653</w:t>
                    </w:r>
                  </w:p>
                </w:tc>
              </w:sdtContent>
            </w:sdt>
            <w:sdt>
              <w:sdtPr>
                <w:tag w:val="goog_rdk_594"/>
                <w:id w:val="-661038709"/>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$ 3,681</w:t>
                    </w:r>
                  </w:p>
                </w:tc>
              </w:sdtContent>
            </w:sdt>
            <w:sdt>
              <w:sdtPr>
                <w:tag w:val="goog_rdk_595"/>
                <w:id w:val="971095310"/>
                <w:lock w:val="contentLocked"/>
              </w:sdtPr>
              <w:sdtEndPr/>
              <w:sdtContent>
                <w:tc>
                  <w:tcPr>
                    <w:tcW w:w="118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$ 13,388</w:t>
                    </w:r>
                  </w:p>
                </w:tc>
              </w:sdtContent>
            </w:sdt>
            <w:sdt>
              <w:sdtPr>
                <w:tag w:val="goog_rdk_596"/>
                <w:id w:val="1722564379"/>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$ 499</w:t>
                    </w:r>
                  </w:p>
                </w:tc>
              </w:sdtContent>
            </w:sdt>
          </w:tr>
          <w:tr w:rsidR="00743DA6">
            <w:trPr>
              <w:trHeight w:val="1635"/>
            </w:trPr>
            <w:sdt>
              <w:sdtPr>
                <w:tag w:val="goog_rdk_597"/>
                <w:id w:val="916274120"/>
                <w:lock w:val="contentLocked"/>
              </w:sdtPr>
              <w:sdtEndPr/>
              <w:sdtContent>
                <w:tc>
                  <w:tcPr>
                    <w:tcW w:w="35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Realizar 4 Informe(s) de seguimiento a la implementación de la Política Pública Distrital de Vendedoras y Vendedores Informales</w:t>
                    </w:r>
                  </w:p>
                </w:tc>
              </w:sdtContent>
            </w:sdt>
            <w:sdt>
              <w:sdtPr>
                <w:tag w:val="goog_rdk_598"/>
                <w:id w:val="2103901191"/>
                <w:lock w:val="contentLocked"/>
              </w:sdtPr>
              <w:sdtEndPr/>
              <w:sdtContent>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$ 491</w:t>
                    </w:r>
                  </w:p>
                </w:tc>
              </w:sdtContent>
            </w:sdt>
            <w:sdt>
              <w:sdtPr>
                <w:tag w:val="goog_rdk_599"/>
                <w:id w:val="2031437812"/>
                <w:lock w:val="contentLocked"/>
              </w:sdtPr>
              <w:sdtEndPr/>
              <w:sdtContent>
                <w:tc>
                  <w:tcPr>
                    <w:tcW w:w="9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$ 491</w:t>
                    </w:r>
                  </w:p>
                </w:tc>
              </w:sdtContent>
            </w:sdt>
            <w:sdt>
              <w:sdtPr>
                <w:tag w:val="goog_rdk_600"/>
                <w:id w:val="696015399"/>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$ 218</w:t>
                    </w:r>
                  </w:p>
                </w:tc>
              </w:sdtContent>
            </w:sdt>
            <w:sdt>
              <w:sdtPr>
                <w:tag w:val="goog_rdk_601"/>
                <w:id w:val="382193102"/>
                <w:lock w:val="contentLocked"/>
              </w:sdtPr>
              <w:sdtEndPr/>
              <w:sdtContent>
                <w:tc>
                  <w:tcPr>
                    <w:tcW w:w="118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$ 507</w:t>
                    </w:r>
                  </w:p>
                </w:tc>
              </w:sdtContent>
            </w:sdt>
            <w:sdt>
              <w:sdtPr>
                <w:tag w:val="goog_rdk_602"/>
                <w:id w:val="-1127677353"/>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w:t>
                    </w:r>
                  </w:p>
                </w:tc>
              </w:sdtContent>
            </w:sdt>
          </w:tr>
          <w:tr w:rsidR="00743DA6">
            <w:trPr>
              <w:trHeight w:val="1245"/>
            </w:trPr>
            <w:sdt>
              <w:sdtPr>
                <w:tag w:val="goog_rdk_603"/>
                <w:id w:val="1867786328"/>
                <w:lock w:val="contentLocked"/>
              </w:sdtPr>
              <w:sdtEndPr/>
              <w:sdtContent>
                <w:tc>
                  <w:tcPr>
                    <w:tcW w:w="35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Asignar 90 Alternativa(s) de generación de ingresos a vendedores informales personas mayores y/o en condición de discapacidad</w:t>
                    </w:r>
                  </w:p>
                </w:tc>
              </w:sdtContent>
            </w:sdt>
            <w:sdt>
              <w:sdtPr>
                <w:tag w:val="goog_rdk_604"/>
                <w:id w:val="1998652653"/>
                <w:lock w:val="contentLocked"/>
              </w:sdtPr>
              <w:sdtEndPr/>
              <w:sdtContent>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$ 152</w:t>
                    </w:r>
                  </w:p>
                </w:tc>
              </w:sdtContent>
            </w:sdt>
            <w:sdt>
              <w:sdtPr>
                <w:tag w:val="goog_rdk_605"/>
                <w:id w:val="-879610296"/>
                <w:lock w:val="contentLocked"/>
              </w:sdtPr>
              <w:sdtEndPr/>
              <w:sdtContent>
                <w:tc>
                  <w:tcPr>
                    <w:tcW w:w="9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$ 152</w:t>
                    </w:r>
                  </w:p>
                </w:tc>
              </w:sdtContent>
            </w:sdt>
            <w:sdt>
              <w:sdtPr>
                <w:tag w:val="goog_rdk_606"/>
                <w:id w:val="891937695"/>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$ 57</w:t>
                    </w:r>
                  </w:p>
                </w:tc>
              </w:sdtContent>
            </w:sdt>
            <w:sdt>
              <w:sdtPr>
                <w:tag w:val="goog_rdk_607"/>
                <w:id w:val="753649271"/>
                <w:lock w:val="contentLocked"/>
              </w:sdtPr>
              <w:sdtEndPr/>
              <w:sdtContent>
                <w:tc>
                  <w:tcPr>
                    <w:tcW w:w="118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$ 189</w:t>
                    </w:r>
                  </w:p>
                </w:tc>
              </w:sdtContent>
            </w:sdt>
            <w:sdt>
              <w:sdtPr>
                <w:tag w:val="goog_rdk_608"/>
                <w:id w:val="2042500193"/>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w:t>
                    </w:r>
                  </w:p>
                </w:tc>
              </w:sdtContent>
            </w:sdt>
          </w:tr>
          <w:tr w:rsidR="00743DA6">
            <w:trPr>
              <w:trHeight w:val="825"/>
            </w:trPr>
            <w:sdt>
              <w:sdtPr>
                <w:tag w:val="goog_rdk_609"/>
                <w:id w:val="1438674162"/>
                <w:lock w:val="contentLocked"/>
              </w:sdtPr>
              <w:sdtEndPr/>
              <w:sdtContent>
                <w:tc>
                  <w:tcPr>
                    <w:tcW w:w="35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Fortalecer el 100 Porciento el Modelo Integrado de Planeación y Gestión - MIPG con la participación de cada uno de sus políticas</w:t>
                    </w:r>
                  </w:p>
                </w:tc>
              </w:sdtContent>
            </w:sdt>
            <w:sdt>
              <w:sdtPr>
                <w:tag w:val="goog_rdk_610"/>
                <w:id w:val="-1129173488"/>
                <w:lock w:val="contentLocked"/>
              </w:sdtPr>
              <w:sdtEndPr/>
              <w:sdtContent>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$ 7,180</w:t>
                    </w:r>
                  </w:p>
                </w:tc>
              </w:sdtContent>
            </w:sdt>
            <w:sdt>
              <w:sdtPr>
                <w:tag w:val="goog_rdk_611"/>
                <w:id w:val="1334383967"/>
                <w:lock w:val="contentLocked"/>
              </w:sdtPr>
              <w:sdtEndPr/>
              <w:sdtContent>
                <w:tc>
                  <w:tcPr>
                    <w:tcW w:w="9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$ 6,300</w:t>
                    </w:r>
                  </w:p>
                </w:tc>
              </w:sdtContent>
            </w:sdt>
            <w:sdt>
              <w:sdtPr>
                <w:tag w:val="goog_rdk_612"/>
                <w:id w:val="-1029491491"/>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$ 3,858</w:t>
                    </w:r>
                  </w:p>
                </w:tc>
              </w:sdtContent>
            </w:sdt>
            <w:sdt>
              <w:sdtPr>
                <w:tag w:val="goog_rdk_613"/>
                <w:id w:val="-1192106318"/>
                <w:lock w:val="contentLocked"/>
              </w:sdtPr>
              <w:sdtEndPr/>
              <w:sdtContent>
                <w:tc>
                  <w:tcPr>
                    <w:tcW w:w="118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$ 7,831</w:t>
                    </w:r>
                  </w:p>
                </w:tc>
              </w:sdtContent>
            </w:sdt>
            <w:sdt>
              <w:sdtPr>
                <w:tag w:val="goog_rdk_614"/>
                <w:id w:val="267958752"/>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$ 651</w:t>
                    </w:r>
                  </w:p>
                </w:tc>
              </w:sdtContent>
            </w:sdt>
          </w:tr>
          <w:tr w:rsidR="00743DA6">
            <w:trPr>
              <w:trHeight w:val="1455"/>
            </w:trPr>
            <w:sdt>
              <w:sdtPr>
                <w:tag w:val="goog_rdk_615"/>
                <w:id w:val="2054572901"/>
                <w:lock w:val="contentLocked"/>
              </w:sdtPr>
              <w:sdtEndPr/>
              <w:sdtContent>
                <w:tc>
                  <w:tcPr>
                    <w:tcW w:w="35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Fortalecer al 100 Porciento la gestión de datos en políticas, capacitaciones, procedimientos, almacenamiento y controles de calidad de los datos.</w:t>
                    </w:r>
                  </w:p>
                </w:tc>
              </w:sdtContent>
            </w:sdt>
            <w:sdt>
              <w:sdtPr>
                <w:tag w:val="goog_rdk_616"/>
                <w:id w:val="1958527640"/>
                <w:lock w:val="contentLocked"/>
              </w:sdtPr>
              <w:sdtEndPr/>
              <w:sdtContent>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$ 281</w:t>
                    </w:r>
                  </w:p>
                </w:tc>
              </w:sdtContent>
            </w:sdt>
            <w:sdt>
              <w:sdtPr>
                <w:tag w:val="goog_rdk_617"/>
                <w:id w:val="-1133235037"/>
                <w:lock w:val="contentLocked"/>
              </w:sdtPr>
              <w:sdtEndPr/>
              <w:sdtContent>
                <w:tc>
                  <w:tcPr>
                    <w:tcW w:w="9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$ 209</w:t>
                    </w:r>
                  </w:p>
                </w:tc>
              </w:sdtContent>
            </w:sdt>
            <w:sdt>
              <w:sdtPr>
                <w:tag w:val="goog_rdk_618"/>
                <w:id w:val="-1835619538"/>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w:t>
                    </w:r>
                  </w:p>
                </w:tc>
              </w:sdtContent>
            </w:sdt>
            <w:sdt>
              <w:sdtPr>
                <w:tag w:val="goog_rdk_619"/>
                <w:id w:val="191424686"/>
                <w:lock w:val="contentLocked"/>
              </w:sdtPr>
              <w:sdtEndPr/>
              <w:sdtContent>
                <w:tc>
                  <w:tcPr>
                    <w:tcW w:w="118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$ 285</w:t>
                    </w:r>
                  </w:p>
                </w:tc>
              </w:sdtContent>
            </w:sdt>
            <w:sdt>
              <w:sdtPr>
                <w:tag w:val="goog_rdk_620"/>
                <w:id w:val="-380275132"/>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w:t>
                    </w:r>
                  </w:p>
                </w:tc>
              </w:sdtContent>
            </w:sdt>
          </w:tr>
          <w:tr w:rsidR="00743DA6">
            <w:trPr>
              <w:trHeight w:val="1755"/>
            </w:trPr>
            <w:sdt>
              <w:sdtPr>
                <w:tag w:val="goog_rdk_621"/>
                <w:id w:val="-10816736"/>
                <w:lock w:val="contentLocked"/>
              </w:sdtPr>
              <w:sdtEndPr/>
              <w:sdtContent>
                <w:tc>
                  <w:tcPr>
                    <w:tcW w:w="35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Fortalecer 100 Porciento medidas de seguridad físicas y técnicas para proteger los datos contra el acceso no autorizado, divulgación, alteración o destrucción y aumentar las respuestas a incidentes de violaciones de datos.</w:t>
                    </w:r>
                  </w:p>
                </w:tc>
              </w:sdtContent>
            </w:sdt>
            <w:sdt>
              <w:sdtPr>
                <w:tag w:val="goog_rdk_622"/>
                <w:id w:val="-330742712"/>
                <w:lock w:val="contentLocked"/>
              </w:sdtPr>
              <w:sdtEndPr/>
              <w:sdtContent>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$ 674</w:t>
                    </w:r>
                  </w:p>
                </w:tc>
              </w:sdtContent>
            </w:sdt>
            <w:sdt>
              <w:sdtPr>
                <w:tag w:val="goog_rdk_623"/>
                <w:id w:val="-811987944"/>
                <w:lock w:val="contentLocked"/>
              </w:sdtPr>
              <w:sdtEndPr/>
              <w:sdtContent>
                <w:tc>
                  <w:tcPr>
                    <w:tcW w:w="9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$ 102</w:t>
                    </w:r>
                  </w:p>
                </w:tc>
              </w:sdtContent>
            </w:sdt>
            <w:sdt>
              <w:sdtPr>
                <w:tag w:val="goog_rdk_624"/>
                <w:id w:val="1517477347"/>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$ 50</w:t>
                    </w:r>
                  </w:p>
                </w:tc>
              </w:sdtContent>
            </w:sdt>
            <w:sdt>
              <w:sdtPr>
                <w:tag w:val="goog_rdk_625"/>
                <w:id w:val="1698104988"/>
                <w:lock w:val="contentLocked"/>
              </w:sdtPr>
              <w:sdtEndPr/>
              <w:sdtContent>
                <w:tc>
                  <w:tcPr>
                    <w:tcW w:w="118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$ 866</w:t>
                    </w:r>
                  </w:p>
                </w:tc>
              </w:sdtContent>
            </w:sdt>
            <w:sdt>
              <w:sdtPr>
                <w:tag w:val="goog_rdk_626"/>
                <w:id w:val="948668928"/>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$ 192</w:t>
                    </w:r>
                  </w:p>
                </w:tc>
              </w:sdtContent>
            </w:sdt>
          </w:tr>
          <w:tr w:rsidR="00743DA6">
            <w:trPr>
              <w:trHeight w:val="2880"/>
            </w:trPr>
            <w:sdt>
              <w:sdtPr>
                <w:tag w:val="goog_rdk_627"/>
                <w:id w:val="2049121344"/>
                <w:lock w:val="contentLocked"/>
              </w:sdtPr>
              <w:sdtEndPr/>
              <w:sdtContent>
                <w:tc>
                  <w:tcPr>
                    <w:tcW w:w="355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Incrementar en un 100 Porciento Ia Infraestructura de datos robusta y escalable, e implementación de herramientas de ciberseguridad.</w:t>
                    </w:r>
                  </w:p>
                </w:tc>
              </w:sdtContent>
            </w:sdt>
            <w:sdt>
              <w:sdtPr>
                <w:tag w:val="goog_rdk_628"/>
                <w:id w:val="2102831040"/>
                <w:lock w:val="contentLocked"/>
              </w:sdtPr>
              <w:sdtEndPr/>
              <w:sdtContent>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$ 519</w:t>
                    </w:r>
                  </w:p>
                </w:tc>
              </w:sdtContent>
            </w:sdt>
            <w:sdt>
              <w:sdtPr>
                <w:tag w:val="goog_rdk_629"/>
                <w:id w:val="1913072595"/>
                <w:lock w:val="contentLocked"/>
              </w:sdtPr>
              <w:sdtEndPr/>
              <w:sdtContent>
                <w:tc>
                  <w:tcPr>
                    <w:tcW w:w="9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$ 413</w:t>
                    </w:r>
                  </w:p>
                </w:tc>
              </w:sdtContent>
            </w:sdt>
            <w:sdt>
              <w:sdtPr>
                <w:tag w:val="goog_rdk_630"/>
                <w:id w:val="-1848527817"/>
                <w:lock w:val="contentLocked"/>
              </w:sdtPr>
              <w:sdtEndPr/>
              <w:sdtContent>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$ 105</w:t>
                    </w:r>
                  </w:p>
                </w:tc>
              </w:sdtContent>
            </w:sdt>
            <w:sdt>
              <w:sdtPr>
                <w:tag w:val="goog_rdk_631"/>
                <w:id w:val="30981004"/>
                <w:lock w:val="contentLocked"/>
              </w:sdtPr>
              <w:sdtEndPr/>
              <w:sdtContent>
                <w:tc>
                  <w:tcPr>
                    <w:tcW w:w="118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$ 624</w:t>
                    </w:r>
                  </w:p>
                </w:tc>
              </w:sdtContent>
            </w:sdt>
            <w:sdt>
              <w:sdtPr>
                <w:tag w:val="goog_rdk_632"/>
                <w:id w:val="-17908246"/>
                <w:lock w:val="contentLocked"/>
              </w:sdtPr>
              <w:sdtEndPr/>
              <w:sdtContent>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$ 105</w:t>
                    </w:r>
                  </w:p>
                </w:tc>
              </w:sdtContent>
            </w:sdt>
          </w:tr>
        </w:tbl>
      </w:sdtContent>
    </w:sdt>
    <w:p w:rsidR="00743DA6" w:rsidRDefault="00D95D19">
      <w:pPr>
        <w:spacing w:line="276" w:lineRule="auto"/>
        <w:jc w:val="both"/>
      </w:pP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line="259" w:lineRule="auto"/>
        <w:jc w:val="both"/>
        <w:rPr>
          <w:sz w:val="22"/>
          <w:szCs w:val="22"/>
        </w:rPr>
      </w:pPr>
      <w:r>
        <w:rPr>
          <w:sz w:val="22"/>
          <w:szCs w:val="22"/>
        </w:rPr>
        <w:t>El presupuesto proyectado para 2026 concentra aumentos en componentes asociados al sostenimiento operativo y a la infraestructura tecnológica del IPES. La actividad destinada a administrar las 19 Plazas Distritales de Mercado recibe un incremento de +$1.529 millones, aun cuando en 2025 registró una ejecución del 47,4 %. Esta variación refleja la necesidad de asegurar la continuidad de servicios esenciales, como operación logística, servicios públicos y esquemas de vigilancia, que son indispensables para el funcionamiento cotidiano de las plazas y cuya demanda permanece constante, independientemente de los niveles de ejecución de la vigencia anterior. De manera similar, la actividad dirigida a disponer de 4.000 alternativas comerciales para vendedores informales registra una ampliación de +$499 millones, pese a haber ejecutado el 28,6 % en 2025. Este aumento indica la intención de mantener la oferta institucional de opciones de reubicación y formalización comercial, lo que requiere recursos para su sostenimiento y adaptación a las condiciones territoriales actuales.</w:t>
      </w:r>
    </w:p>
    <w:p w:rsidR="00743DA6" w:rsidRDefault="00D95D19">
      <w:pPr>
        <w:spacing w:before="240" w:after="240" w:line="259" w:lineRule="auto"/>
        <w:jc w:val="both"/>
        <w:rPr>
          <w:sz w:val="22"/>
          <w:szCs w:val="22"/>
        </w:rPr>
      </w:pPr>
      <w:r>
        <w:rPr>
          <w:sz w:val="22"/>
          <w:szCs w:val="22"/>
        </w:rPr>
        <w:t>Por otra parte, el presupuesto 2026 incorpora un incremento para la actividad de fortalecimiento de medidas de seguridad física y técnica en materia de protección de datos, equivalente a +$192 millones, luego de que en 2025 se ejecutara el 7,4 % de los recursos asignados. Esta variación sugiere que la entidad considera prioritario avanzar en la actualización de su infraestructura tecnológica, en especial en temas asociados a integridad de la información y continuidad operativa, dado que muchos de los programas del IPES —incluyendo los relacionados con vendedores informales y administración de plazas— dependen cada vez más de sistemas digitales de gestión. En conjunto, estas decisiones presupuestales muestran un énfasis en preservar la operación básica y mejorar capacidades institucionales, aun cuando los niveles de ejecución de 2025 señalan que será necesario fortalecer procesos internos para asegurar que los recursos proyectados se traduzcan en avances verificables durante la nueva vigencia.</w:t>
      </w:r>
    </w:p>
    <w:p w:rsidR="00743DA6" w:rsidRDefault="00D95D19">
      <w:pPr>
        <w:pStyle w:val="Ttulo3"/>
        <w:keepNext w:val="0"/>
        <w:keepLines w:val="0"/>
        <w:spacing w:before="280" w:after="80" w:line="276" w:lineRule="auto"/>
        <w:jc w:val="both"/>
        <w:rPr>
          <w:rFonts w:ascii="Arial" w:eastAsia="Arial" w:hAnsi="Arial" w:cs="Arial"/>
          <w:b/>
          <w:bCs/>
          <w:color w:val="000000"/>
          <w:sz w:val="22"/>
          <w:szCs w:val="22"/>
        </w:rPr>
      </w:pPr>
      <w:bookmarkStart w:id="17" w:name="_heading=h.9cgbcsutot74" w:colFirst="0" w:colLast="0"/>
      <w:bookmarkEnd w:id="17"/>
      <w:r>
        <w:rPr>
          <w:rFonts w:ascii="Arial" w:eastAsia="Arial" w:hAnsi="Arial" w:cs="Arial"/>
          <w:b/>
          <w:bCs/>
          <w:color w:val="000000"/>
          <w:sz w:val="22"/>
          <w:szCs w:val="22"/>
        </w:rPr>
        <w:t xml:space="preserve">¿Qué pasa con las Plazas de Mercado? </w:t>
      </w:r>
    </w:p>
    <w:p w:rsidR="00743DA6" w:rsidRDefault="00D95D19">
      <w:pPr>
        <w:spacing w:before="240" w:after="240" w:line="276" w:lineRule="auto"/>
        <w:jc w:val="both"/>
        <w:rPr>
          <w:sz w:val="22"/>
          <w:szCs w:val="22"/>
        </w:rPr>
      </w:pPr>
      <w:r>
        <w:rPr>
          <w:sz w:val="22"/>
          <w:szCs w:val="22"/>
        </w:rPr>
        <w:t>Este es el sector más afectado. Los cambios son muy negativos.</w:t>
      </w:r>
    </w:p>
    <w:p w:rsidR="00743DA6" w:rsidRDefault="00D95D19">
      <w:pPr>
        <w:spacing w:before="240" w:after="240" w:line="276" w:lineRule="auto"/>
        <w:jc w:val="both"/>
        <w:rPr>
          <w:sz w:val="22"/>
          <w:szCs w:val="22"/>
        </w:rPr>
      </w:pPr>
      <w:r>
        <w:rPr>
          <w:sz w:val="22"/>
          <w:szCs w:val="22"/>
        </w:rPr>
        <w:t>El presupuesto revela que la gran apuesta por modernizar la infraestructura de las Plazas de Mercado en 2025 fracasó y, en consecuencia, se abandona esa inversión para 2026.</w:t>
      </w:r>
    </w:p>
    <w:p w:rsidR="00743DA6" w:rsidRDefault="00D95D19">
      <w:pPr>
        <w:spacing w:before="240" w:after="240" w:line="276" w:lineRule="auto"/>
        <w:jc w:val="both"/>
        <w:rPr>
          <w:sz w:val="22"/>
          <w:szCs w:val="22"/>
        </w:rPr>
      </w:pPr>
      <w:r>
        <w:rPr>
          <w:sz w:val="22"/>
          <w:szCs w:val="22"/>
        </w:rPr>
        <w:t>El Fracaso de 2025: La actividad "Implementar 4 Plan(es) de intervención a la infraestructura de las Plazas" tenía asignados $10,373 millones. De esto, solo se pagaron $2,224 millones (21.4%). Este fue el proyecto de inversión más grande y el que peor se ejecutó.</w:t>
      </w:r>
    </w:p>
    <w:p w:rsidR="00743DA6" w:rsidRDefault="00D95D19">
      <w:pPr>
        <w:spacing w:before="240" w:after="240" w:line="276" w:lineRule="auto"/>
        <w:jc w:val="both"/>
        <w:rPr>
          <w:sz w:val="22"/>
          <w:szCs w:val="22"/>
        </w:rPr>
      </w:pPr>
      <w:r>
        <w:rPr>
          <w:sz w:val="22"/>
          <w:szCs w:val="22"/>
        </w:rPr>
        <w:t>El Recorte de 2026: Como resultado, esa misma actividad sufre el recorte más drástico de todo el IPES: una reducción de -$4,246 millones para 2026.</w:t>
      </w:r>
    </w:p>
    <w:p w:rsidR="00743DA6" w:rsidRDefault="00D95D19">
      <w:pPr>
        <w:spacing w:before="240" w:after="240" w:line="276" w:lineRule="auto"/>
        <w:jc w:val="both"/>
        <w:rPr>
          <w:sz w:val="22"/>
          <w:szCs w:val="22"/>
        </w:rPr>
      </w:pPr>
      <w:r>
        <w:rPr>
          <w:sz w:val="22"/>
          <w:szCs w:val="22"/>
        </w:rPr>
        <w:t>Se Recorta Todo lo Estratégico: No solo se corta la infraestructura. También se recorta drásticamente el "fortalecimiento comercial" (-$1,237 millones) y los "estudios de precios y volúmenes" (-$508 millones).</w:t>
      </w:r>
    </w:p>
    <w:p w:rsidR="00743DA6" w:rsidRDefault="00D95D19">
      <w:pPr>
        <w:spacing w:before="240" w:after="240" w:line="276" w:lineRule="auto"/>
        <w:jc w:val="both"/>
        <w:rPr>
          <w:sz w:val="22"/>
          <w:szCs w:val="22"/>
        </w:rPr>
      </w:pPr>
      <w:r>
        <w:rPr>
          <w:sz w:val="22"/>
          <w:szCs w:val="22"/>
        </w:rPr>
        <w:t>Se está desinvirtiendo en la modernización, competitividad y mejoramiento físico de las plazas. El único aumento significativo (+1,528 millones) es para "Administrar 19 Plaza(s)", lo que sugiere que el presupuesto se está enfocando en gastos operativos fijos (nómina, servicios, seguridad) en lugar de inversión estratégica, probablemente ligados a la implementación del nuevo protocolo de aprovechamiento económico del espacio público al interior de las Plazas Distritales de Mercado. Preocupa evidenciar que la lógica  de "mejorar la infraestructura de las plazas" queda rezagada a "mantener las plazas abiertas como sea posible".</w:t>
      </w:r>
    </w:p>
    <w:p w:rsidR="00743DA6" w:rsidRDefault="00D95D19">
      <w:pPr>
        <w:spacing w:before="240" w:after="240" w:line="276" w:lineRule="auto"/>
        <w:jc w:val="both"/>
        <w:rPr>
          <w:sz w:val="22"/>
          <w:szCs w:val="22"/>
        </w:rPr>
      </w:pPr>
      <w:r>
        <w:rPr>
          <w:sz w:val="22"/>
          <w:szCs w:val="22"/>
        </w:rPr>
        <w:t>En las líneas asociadas a vendedores informales, el análisis de las variaciones presupuestales muestra un reordenamiento interno que modifica el equilibrio entre sostenibilidad económica y gestión cotidiana del espacio público. Las actividades orientadas al fortalecimiento productivo presentan reducciones relevantes: la línea destinada a acciones de sostenibilidad disminuye en –$1.447 millones, mientras que las actividades de oportunidades de comercialización y asistencia técnica se ajustan en –$443 millones y –$162 millones, respectivamente. Estas variaciones implican una menor disponibilidad de recursos para procesos de formación, desarrollo empresarial y consolidación de capacidades, componentes que suelen asociarse con estrategias de mediano plazo para mejorar las condiciones económicas de esta población.</w:t>
      </w:r>
    </w:p>
    <w:p w:rsidR="00743DA6" w:rsidRDefault="00D95D19">
      <w:pPr>
        <w:spacing w:before="240" w:after="240" w:line="276" w:lineRule="auto"/>
        <w:jc w:val="both"/>
        <w:rPr>
          <w:sz w:val="22"/>
          <w:szCs w:val="22"/>
        </w:rPr>
      </w:pPr>
      <w:r>
        <w:rPr>
          <w:sz w:val="22"/>
          <w:szCs w:val="22"/>
        </w:rPr>
        <w:t>En contraste, la actividad dirigida a disponer de 4.000 alternativas comerciales incrementa su asignación en +$498 millones, lo que reorienta el peso presupuestal hacia mecanismos operativos de reubicación, acompañamiento territorial y administración del espacio público. Adicionalmente, la programación 2026 para la Política Pública de Vendedores Informales muestra reducciones en la caracterización y el diagnóstico, mientras que aumentan los recursos destinados a la gestión de alternativas y al seguimiento de la política. En conjunto, este comportamiento sugiere un énfasis mayor en la administración diaria del fenómeno y una reducción en los componentes de sostenibilidad económica, dos ejes que forman parte central de la agenda de economía popular y que requieren capacidad institucional continua para consolidar resultados a mediano y largo plazo.</w:t>
      </w:r>
    </w:p>
    <w:p w:rsidR="00743DA6" w:rsidRDefault="00743DA6">
      <w:pPr>
        <w:spacing w:before="240" w:after="240" w:line="276" w:lineRule="auto"/>
        <w:jc w:val="both"/>
        <w:rPr>
          <w:sz w:val="22"/>
          <w:szCs w:val="22"/>
        </w:rPr>
      </w:pPr>
    </w:p>
    <w:p w:rsidR="00743DA6" w:rsidRDefault="00743DA6">
      <w:pPr>
        <w:spacing w:before="240" w:after="240" w:line="276" w:lineRule="auto"/>
        <w:jc w:val="both"/>
        <w:rPr>
          <w:sz w:val="22"/>
          <w:szCs w:val="22"/>
        </w:rPr>
      </w:pPr>
    </w:p>
    <w:p w:rsidR="00743DA6" w:rsidRDefault="00D95D19">
      <w:pPr>
        <w:pBdr>
          <w:top w:val="nil"/>
          <w:left w:val="nil"/>
          <w:bottom w:val="nil"/>
          <w:right w:val="nil"/>
          <w:between w:val="nil"/>
        </w:pBdr>
        <w:spacing w:after="160" w:line="259" w:lineRule="auto"/>
        <w:jc w:val="both"/>
        <w:rPr>
          <w:sz w:val="22"/>
          <w:szCs w:val="22"/>
        </w:rPr>
      </w:pPr>
      <w:r>
        <w:rPr>
          <w:b/>
          <w:bCs/>
          <w:color w:val="000000"/>
          <w:sz w:val="22"/>
          <w:szCs w:val="22"/>
        </w:rPr>
        <w:t>Instituto Distrital de Turismo - I</w:t>
      </w:r>
      <w:r>
        <w:rPr>
          <w:b/>
          <w:bCs/>
          <w:sz w:val="22"/>
          <w:szCs w:val="22"/>
        </w:rPr>
        <w:t>DT</w:t>
      </w:r>
    </w:p>
    <w:p w:rsidR="00743DA6" w:rsidRDefault="00D95D19">
      <w:pPr>
        <w:pBdr>
          <w:top w:val="nil"/>
          <w:left w:val="nil"/>
          <w:bottom w:val="nil"/>
          <w:right w:val="nil"/>
          <w:between w:val="nil"/>
        </w:pBdr>
        <w:spacing w:after="160" w:line="259" w:lineRule="auto"/>
        <w:jc w:val="both"/>
        <w:rPr>
          <w:b/>
          <w:bCs/>
          <w:sz w:val="22"/>
          <w:szCs w:val="22"/>
        </w:rPr>
      </w:pPr>
      <w:r>
        <w:rPr>
          <w:b/>
          <w:bCs/>
          <w:sz w:val="22"/>
          <w:szCs w:val="22"/>
        </w:rPr>
        <w:t>Análisis del comportamiento presupuestal de la entidad 2022 - 2026</w:t>
      </w:r>
    </w:p>
    <w:p w:rsidR="00743DA6" w:rsidRDefault="00D95D19">
      <w:pPr>
        <w:pBdr>
          <w:top w:val="nil"/>
          <w:left w:val="nil"/>
          <w:bottom w:val="nil"/>
          <w:right w:val="nil"/>
          <w:between w:val="nil"/>
        </w:pBdr>
        <w:spacing w:after="160" w:line="259" w:lineRule="auto"/>
        <w:jc w:val="both"/>
        <w:rPr>
          <w:sz w:val="22"/>
          <w:szCs w:val="22"/>
        </w:rPr>
      </w:pPr>
      <w:r>
        <w:rPr>
          <w:sz w:val="22"/>
          <w:szCs w:val="22"/>
        </w:rPr>
        <w:t>La trayectoria presupuestal del Instituto Distrital de Turismo (IDT) entre 2022 y 2026 muestra un patrón relativamente estable en la apropiación de recursos, pero con un giro preocupante en su capacidad de ejecución durante 2025. La línea azul del gráfico evidencia que el presupuesto programado se mueve en un rango estrecho —entre $28.196 millones y $33.215 millones, con un crecimiento gradual que llega a su punto más alto en 2025. Este aumento está alineado con la estrategia del Plan Distrital de Desarrollo, que plantea la reactivación económica a través del turismo, la ampliación de corredores turísticos seguros y el fortalecimiento de la oferta cultural. Sin embargo, para 2026 la Administración formula una leve contracción del 2.02%, reduciendo la apropiación a $32.545 millones. Esta disminución no responde a un cambio de prioridades sectoriales, sino a la necesidad de ajustar el presupuesto a la realidad de la ejecución mostrada por la entidad.</w:t>
      </w:r>
    </w:p>
    <w:p w:rsidR="00743DA6" w:rsidRDefault="00D95D19">
      <w:pPr>
        <w:pBdr>
          <w:top w:val="nil"/>
          <w:left w:val="nil"/>
          <w:bottom w:val="nil"/>
          <w:right w:val="nil"/>
          <w:between w:val="nil"/>
        </w:pBdr>
        <w:spacing w:after="160" w:line="259" w:lineRule="auto"/>
        <w:jc w:val="center"/>
        <w:rPr>
          <w:b/>
          <w:bCs/>
          <w:sz w:val="22"/>
          <w:szCs w:val="22"/>
        </w:rPr>
      </w:pPr>
      <w:r>
        <w:rPr>
          <w:b/>
          <w:bCs/>
          <w:sz w:val="22"/>
          <w:szCs w:val="22"/>
        </w:rPr>
        <w:t>Gráfica histórico presupuestal 2022 - 2026 IDT</w:t>
      </w:r>
    </w:p>
    <w:p w:rsidR="00743DA6" w:rsidRDefault="00D95D19">
      <w:r>
        <w:rPr>
          <w:noProof/>
          <w:lang w:val="es-CO"/>
        </w:rPr>
        <w:drawing>
          <wp:inline distT="114300" distB="114300" distL="114300" distR="114300">
            <wp:extent cx="5612130" cy="3276600"/>
            <wp:effectExtent l="0" t="0" r="0" b="0"/>
            <wp:docPr id="212739959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7"/>
                    <a:srcRect/>
                    <a:stretch>
                      <a:fillRect/>
                    </a:stretch>
                  </pic:blipFill>
                  <pic:spPr>
                    <a:xfrm>
                      <a:off x="0" y="0"/>
                      <a:ext cx="5612130" cy="3276600"/>
                    </a:xfrm>
                    <a:prstGeom prst="rect">
                      <a:avLst/>
                    </a:prstGeom>
                    <a:ln/>
                  </pic:spPr>
                </pic:pic>
              </a:graphicData>
            </a:graphic>
          </wp:inline>
        </w:drawing>
      </w:r>
    </w:p>
    <w:p w:rsidR="00743DA6" w:rsidRDefault="00D95D19">
      <w:pPr>
        <w:spacing w:line="276" w:lineRule="auto"/>
        <w:jc w:val="both"/>
      </w:pP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jc w:val="both"/>
        <w:rPr>
          <w:sz w:val="22"/>
          <w:szCs w:val="22"/>
        </w:rPr>
      </w:pPr>
      <w:r>
        <w:rPr>
          <w:sz w:val="22"/>
          <w:szCs w:val="22"/>
        </w:rPr>
        <w:t>La lectura de la ejecución histórica (línea roja) revela que entre 2022 y 2024 el IDT fue consistentemente una entidad sólida en términos de gestión financiera, alcanzando niveles de ejecución del 95.37% (2022), 90.68% (2023) y 88.8% (2024). Este comportamiento lo había posicionado como uno de los sectores con mejor desempeño dentro del bloque de Desarrollo Económico. Sin embargo, en 2025 se produce una caída abrupta: el nivel de pagos se desploma hasta el 59.48%, una caída de casi 30 puntos porcentuales en un solo año. Esto rompe por completo la tendencia histórica y evidencia un año crítico para la entidad. La brecha entre Programado y Girado se amplía drásticamente, señalando que el IDT dejó sin ejecutar más de $13.400 millones. Esta parálisis afecta directamente la puesta en marcha de acciones en infraestructura turística, promoción nacional e internacional, y la estrategia de turismo seguro, temas mencionados en el articulado y los anexos del PA 1004-25 como pilares para 2026.</w:t>
      </w:r>
    </w:p>
    <w:p w:rsidR="00743DA6" w:rsidRDefault="00D95D19">
      <w:pPr>
        <w:spacing w:before="240" w:after="240"/>
        <w:jc w:val="both"/>
        <w:rPr>
          <w:sz w:val="22"/>
          <w:szCs w:val="22"/>
        </w:rPr>
      </w:pPr>
      <w:r>
        <w:rPr>
          <w:sz w:val="22"/>
          <w:szCs w:val="22"/>
        </w:rPr>
        <w:t>La caída en la ejecución no solo se observa en los pagos: el Comprometido (línea naranja), que refleja la capacidad de firmar y asegurar contratos, también se reduce de manera preocupante. En 2025 se contrae hasta niveles inferiores a los de años previos, lo cual indica que el IDT no solo dejó de pagar oportunamente, sino que tampoco logró avanzar en la estructuración ni en la firma de nuevos contratos en el ritmo requerido por su presupuesto programado. Este doble debilitamiento —menor contratación y menor pago— indica un problema estructural de gestión durante 2025, más allá de variaciones estacionales o presupuestales.</w:t>
      </w:r>
    </w:p>
    <w:p w:rsidR="00743DA6" w:rsidRDefault="00D95D19">
      <w:pPr>
        <w:spacing w:before="240" w:after="240"/>
        <w:jc w:val="both"/>
        <w:rPr>
          <w:sz w:val="22"/>
          <w:szCs w:val="22"/>
        </w:rPr>
      </w:pPr>
      <w:r>
        <w:rPr>
          <w:sz w:val="22"/>
          <w:szCs w:val="22"/>
        </w:rPr>
        <w:t>En síntesis, la decisión de reducir ligeramente el presupuesto para 2026 se explica como una corrección técnica necesaria frente a la pérdida de capacidad de ejecución exhibida en 2025. No es una sanción política ni una despriorización del turismo dentro de la agenda distrital, sino un ajuste para evitar que la entidad vuelva a concentrar un volumen de recursos que no podrá ejecutar. El contraste entre tres años de desempeño óptimo y un año de colapso en ejecución sugiere que la Secretaría de Hacienda teme una acumulación de saldos sin ejecutar que generaría presiones posteriores en las vigencias futuras, como ya ocurre en otras entidades del sector económico. A pesar de la contracción del 2026, los documentos del PA 1004-25 indican que el IDT sigue siendo estratégico, especialmente para turismo de naturaleza, corredores seguros y promoción de Bogotá Región; sin embargo, la entidad deberá demostrar en 2026 que puede recuperar su capacidad de ejecución para aspirar a incrementos presupuestales en los próximos años.</w:t>
      </w:r>
    </w:p>
    <w:p w:rsidR="00743DA6" w:rsidRDefault="00D95D19">
      <w:pPr>
        <w:jc w:val="both"/>
        <w:rPr>
          <w:b/>
          <w:bCs/>
          <w:sz w:val="22"/>
          <w:szCs w:val="22"/>
        </w:rPr>
      </w:pPr>
      <w:r>
        <w:rPr>
          <w:b/>
          <w:bCs/>
          <w:sz w:val="22"/>
          <w:szCs w:val="22"/>
        </w:rPr>
        <w:t>Hallazgos y Alertas</w:t>
      </w:r>
    </w:p>
    <w:p w:rsidR="00743DA6" w:rsidRDefault="00743DA6">
      <w:pPr>
        <w:jc w:val="both"/>
        <w:rPr>
          <w:b/>
          <w:bCs/>
          <w:sz w:val="22"/>
          <w:szCs w:val="22"/>
        </w:rPr>
      </w:pPr>
    </w:p>
    <w:p w:rsidR="00743DA6" w:rsidRDefault="00D95D19">
      <w:pPr>
        <w:jc w:val="both"/>
        <w:rPr>
          <w:sz w:val="22"/>
          <w:szCs w:val="22"/>
        </w:rPr>
      </w:pPr>
      <w:r>
        <w:rPr>
          <w:sz w:val="22"/>
          <w:szCs w:val="22"/>
        </w:rPr>
        <w:t>El análisis del presupuesto de inversión del IDT revela una situación crítica de ineficiencia operativa que aparentemente ha motivado una reducción presupuestal para la próxima vigencia. Para 2025, la entidad contó con una apropiación programada de $15.445 millones, de los cuales logró comprometer $12.310 millones, pero solo giró efectivamente $6.218 millones. Esto arroja una ejecución de pagos alarmantemente baja del 40,26%, lo que indica que más de la mitad de los recursos de inversión quedaron atrapados en la gestión administrativa. Como consecuencia directa de esta parálisis, el presupuesto programado para 2026 se reduce a $13.728 millones, lo que representa una disminución neta de -$1.717 millones (-11,12%). Este recorte no es un ajuste menor, sino una sanción fiscal estructural que alinea los recursos disponibles con la precaria capacidad de gasto demostrada por la entidad.</w:t>
      </w:r>
    </w:p>
    <w:p w:rsidR="00743DA6" w:rsidRDefault="00743DA6">
      <w:pPr>
        <w:jc w:val="both"/>
        <w:rPr>
          <w:sz w:val="22"/>
          <w:szCs w:val="22"/>
        </w:rPr>
      </w:pPr>
    </w:p>
    <w:p w:rsidR="00743DA6" w:rsidRDefault="00D95D19">
      <w:pPr>
        <w:jc w:val="both"/>
        <w:rPr>
          <w:sz w:val="22"/>
          <w:szCs w:val="22"/>
        </w:rPr>
      </w:pPr>
      <w:r>
        <w:rPr>
          <w:sz w:val="22"/>
          <w:szCs w:val="22"/>
        </w:rPr>
        <w:t>Total Programado 2025: $15.445,52 millones</w:t>
      </w:r>
    </w:p>
    <w:p w:rsidR="00743DA6" w:rsidRDefault="00D95D19">
      <w:pPr>
        <w:jc w:val="both"/>
        <w:rPr>
          <w:sz w:val="22"/>
          <w:szCs w:val="22"/>
        </w:rPr>
      </w:pPr>
      <w:r>
        <w:rPr>
          <w:sz w:val="22"/>
          <w:szCs w:val="22"/>
        </w:rPr>
        <w:t>Total Comprometido 2025: $12.310,52 millones</w:t>
      </w:r>
    </w:p>
    <w:p w:rsidR="00743DA6" w:rsidRDefault="00D95D19">
      <w:pPr>
        <w:jc w:val="both"/>
        <w:rPr>
          <w:sz w:val="22"/>
          <w:szCs w:val="22"/>
        </w:rPr>
      </w:pPr>
      <w:r>
        <w:rPr>
          <w:sz w:val="22"/>
          <w:szCs w:val="22"/>
        </w:rPr>
        <w:t>Total Giros 2025: $6.218,50 millones</w:t>
      </w:r>
    </w:p>
    <w:p w:rsidR="00743DA6" w:rsidRDefault="00D95D19">
      <w:pPr>
        <w:jc w:val="both"/>
        <w:rPr>
          <w:sz w:val="22"/>
          <w:szCs w:val="22"/>
        </w:rPr>
      </w:pPr>
      <w:r>
        <w:rPr>
          <w:sz w:val="22"/>
          <w:szCs w:val="22"/>
        </w:rPr>
        <w:t>Total Programado 2026: $13.728,48 millones</w:t>
      </w:r>
    </w:p>
    <w:p w:rsidR="00743DA6" w:rsidRDefault="00D95D19">
      <w:pPr>
        <w:jc w:val="both"/>
        <w:rPr>
          <w:sz w:val="22"/>
          <w:szCs w:val="22"/>
        </w:rPr>
      </w:pPr>
      <w:r>
        <w:rPr>
          <w:sz w:val="22"/>
          <w:szCs w:val="22"/>
        </w:rPr>
        <w:t>Diferencia (2026 vs. 2025): -$1.717,04 millones</w:t>
      </w:r>
    </w:p>
    <w:p w:rsidR="00743DA6" w:rsidRDefault="00D95D19">
      <w:pPr>
        <w:jc w:val="both"/>
        <w:rPr>
          <w:sz w:val="22"/>
          <w:szCs w:val="22"/>
        </w:rPr>
      </w:pPr>
      <w:r>
        <w:rPr>
          <w:sz w:val="22"/>
          <w:szCs w:val="22"/>
        </w:rPr>
        <w:t>Diferencia Porcentual: -11,12%</w:t>
      </w:r>
    </w:p>
    <w:p w:rsidR="00743DA6" w:rsidRDefault="00743DA6">
      <w:pPr>
        <w:rPr>
          <w:b/>
          <w:bCs/>
          <w:sz w:val="22"/>
          <w:szCs w:val="22"/>
        </w:rPr>
      </w:pPr>
    </w:p>
    <w:p w:rsidR="00743DA6" w:rsidRDefault="00743DA6">
      <w:pPr>
        <w:rPr>
          <w:b/>
          <w:bCs/>
          <w:sz w:val="22"/>
          <w:szCs w:val="22"/>
        </w:rPr>
      </w:pPr>
    </w:p>
    <w:p w:rsidR="00743DA6" w:rsidRDefault="00D95D19">
      <w:pPr>
        <w:rPr>
          <w:b/>
          <w:bCs/>
          <w:sz w:val="22"/>
          <w:szCs w:val="22"/>
        </w:rPr>
      </w:pPr>
      <w:r>
        <w:rPr>
          <w:b/>
          <w:bCs/>
          <w:sz w:val="22"/>
          <w:szCs w:val="22"/>
        </w:rPr>
        <w:t>Tabla No. 39. Análisis actividades que presentan recorte presupuestal IDT</w:t>
      </w:r>
    </w:p>
    <w:p w:rsidR="00743DA6" w:rsidRDefault="00743DA6">
      <w:pPr>
        <w:rPr>
          <w:b/>
          <w:bCs/>
        </w:rPr>
      </w:pPr>
    </w:p>
    <w:sdt>
      <w:sdtPr>
        <w:rPr>
          <w:rFonts w:ascii="Arial" w:eastAsia="Arial" w:hAnsi="Arial" w:cs="Arial"/>
          <w:sz w:val="24"/>
          <w:szCs w:val="24"/>
          <w:lang w:val="es" w:eastAsia="es-CO"/>
        </w:rPr>
        <w:tag w:val="goog_rdk_718"/>
        <w:id w:val="1923012274"/>
        <w:lock w:val="contentLocked"/>
      </w:sdtPr>
      <w:sdtEndPr/>
      <w:sdtContent>
        <w:tbl>
          <w:tblPr>
            <w:tblStyle w:val="afffffff3"/>
            <w:tblW w:w="8820" w:type="dxa"/>
            <w:tblBorders>
              <w:top w:val="nil"/>
              <w:left w:val="nil"/>
              <w:bottom w:val="nil"/>
              <w:right w:val="nil"/>
              <w:insideH w:val="nil"/>
              <w:insideV w:val="nil"/>
            </w:tblBorders>
            <w:tblLayout w:type="fixed"/>
            <w:tblLook w:val="0600" w:firstRow="0" w:lastRow="0" w:firstColumn="0" w:lastColumn="0" w:noHBand="1" w:noVBand="1"/>
          </w:tblPr>
          <w:tblGrid>
            <w:gridCol w:w="4275"/>
            <w:gridCol w:w="750"/>
            <w:gridCol w:w="1215"/>
            <w:gridCol w:w="690"/>
            <w:gridCol w:w="750"/>
            <w:gridCol w:w="1140"/>
          </w:tblGrid>
          <w:tr w:rsidR="00743DA6">
            <w:trPr>
              <w:trHeight w:val="540"/>
            </w:trPr>
            <w:tc>
              <w:tcPr>
                <w:tcW w:w="8820" w:type="dxa"/>
                <w:gridSpan w:val="6"/>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jc w:val="center"/>
                  <w:rPr>
                    <w:rFonts w:ascii="Arial" w:eastAsia="Arial" w:hAnsi="Arial" w:cs="Arial"/>
                    <w:b/>
                    <w:bCs/>
                  </w:rPr>
                </w:pPr>
                <w:r>
                  <w:rPr>
                    <w:rFonts w:ascii="Arial" w:eastAsia="Arial" w:hAnsi="Arial" w:cs="Arial"/>
                    <w:b/>
                    <w:bCs/>
                  </w:rPr>
                  <w:t>Actividades que presentan recorte presupuestal 2025 - 2025</w:t>
                </w:r>
              </w:p>
              <w:p w:rsidR="00743DA6" w:rsidRDefault="00743DA6">
                <w:pPr>
                  <w:spacing w:line="276" w:lineRule="auto"/>
                  <w:rPr>
                    <w:rFonts w:ascii="Arial" w:eastAsia="Arial" w:hAnsi="Arial" w:cs="Arial"/>
                    <w:b/>
                    <w:bCs/>
                    <w:sz w:val="18"/>
                    <w:szCs w:val="18"/>
                  </w:rPr>
                </w:pPr>
              </w:p>
            </w:tc>
          </w:tr>
          <w:tr w:rsidR="00743DA6">
            <w:trPr>
              <w:trHeight w:val="540"/>
            </w:trPr>
            <w:sdt>
              <w:sdtPr>
                <w:tag w:val="goog_rdk_634"/>
                <w:id w:val="-53448652"/>
                <w:lock w:val="contentLocked"/>
              </w:sdtPr>
              <w:sdtEndPr/>
              <w:sdtContent>
                <w:tc>
                  <w:tcPr>
                    <w:tcW w:w="4275" w:type="dxa"/>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ACTIVIDAD</w:t>
                    </w:r>
                  </w:p>
                </w:tc>
              </w:sdtContent>
            </w:sdt>
            <w:sdt>
              <w:sdtPr>
                <w:tag w:val="goog_rdk_635"/>
                <w:id w:val="-635564006"/>
                <w:lock w:val="contentLocked"/>
              </w:sdtPr>
              <w:sdtEndPr/>
              <w:sdtContent>
                <w:tc>
                  <w:tcPr>
                    <w:tcW w:w="75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2025</w:t>
                    </w:r>
                  </w:p>
                </w:tc>
              </w:sdtContent>
            </w:sdt>
            <w:sdt>
              <w:sdtPr>
                <w:tag w:val="goog_rdk_636"/>
                <w:id w:val="-2093076797"/>
                <w:lock w:val="contentLocked"/>
              </w:sdtPr>
              <w:sdtEndPr/>
              <w:sdtContent>
                <w:tc>
                  <w:tcPr>
                    <w:tcW w:w="121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CONTRATADO 2025</w:t>
                    </w:r>
                  </w:p>
                </w:tc>
              </w:sdtContent>
            </w:sdt>
            <w:sdt>
              <w:sdtPr>
                <w:tag w:val="goog_rdk_637"/>
                <w:id w:val="1156078206"/>
                <w:lock w:val="contentLocked"/>
              </w:sdtPr>
              <w:sdtEndPr/>
              <w:sdtContent>
                <w:tc>
                  <w:tcPr>
                    <w:tcW w:w="69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GIRADO 2025</w:t>
                    </w:r>
                  </w:p>
                </w:tc>
              </w:sdtContent>
            </w:sdt>
            <w:sdt>
              <w:sdtPr>
                <w:tag w:val="goog_rdk_638"/>
                <w:id w:val="460977370"/>
                <w:lock w:val="contentLocked"/>
              </w:sdtPr>
              <w:sdtEndPr/>
              <w:sdtContent>
                <w:tc>
                  <w:tcPr>
                    <w:tcW w:w="75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2026</w:t>
                    </w:r>
                  </w:p>
                </w:tc>
              </w:sdtContent>
            </w:sdt>
            <w:sdt>
              <w:sdtPr>
                <w:tag w:val="goog_rdk_639"/>
                <w:id w:val="795498919"/>
                <w:lock w:val="contentLocked"/>
              </w:sdtPr>
              <w:sdtEndPr/>
              <w:sdtContent>
                <w:tc>
                  <w:tcPr>
                    <w:tcW w:w="114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DIFERENCIA 2025 - 2026</w:t>
                    </w:r>
                  </w:p>
                </w:tc>
              </w:sdtContent>
            </w:sdt>
          </w:tr>
          <w:tr w:rsidR="00743DA6">
            <w:trPr>
              <w:trHeight w:val="915"/>
            </w:trPr>
            <w:sdt>
              <w:sdtPr>
                <w:tag w:val="goog_rdk_640"/>
                <w:id w:val="537455071"/>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Implementar 10 Producto(s) Implementar productos que aporten al cumplimiento de los requisitos, para que Bogotá continúe siendo un Destino Turístico Inteligente.</w:t>
                    </w:r>
                  </w:p>
                </w:tc>
              </w:sdtContent>
            </w:sdt>
            <w:sdt>
              <w:sdtPr>
                <w:tag w:val="goog_rdk_641"/>
                <w:id w:val="1400599767"/>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$ 1,965</w:t>
                    </w:r>
                  </w:p>
                </w:tc>
              </w:sdtContent>
            </w:sdt>
            <w:sdt>
              <w:sdtPr>
                <w:tag w:val="goog_rdk_642"/>
                <w:id w:val="-1701125119"/>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$ 1,535</w:t>
                    </w:r>
                  </w:p>
                </w:tc>
              </w:sdtContent>
            </w:sdt>
            <w:sdt>
              <w:sdtPr>
                <w:tag w:val="goog_rdk_643"/>
                <w:id w:val="-310716265"/>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$ 673</w:t>
                    </w:r>
                  </w:p>
                </w:tc>
              </w:sdtContent>
            </w:sdt>
            <w:sdt>
              <w:sdtPr>
                <w:tag w:val="goog_rdk_644"/>
                <w:id w:val="1246513230"/>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$ 1,700</w:t>
                    </w:r>
                  </w:p>
                </w:tc>
              </w:sdtContent>
            </w:sdt>
            <w:sdt>
              <w:sdtPr>
                <w:tag w:val="goog_rdk_645"/>
                <w:id w:val="-1684467521"/>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-$ 265</w:t>
                    </w:r>
                  </w:p>
                </w:tc>
              </w:sdtContent>
            </w:sdt>
          </w:tr>
          <w:tr w:rsidR="00743DA6">
            <w:trPr>
              <w:trHeight w:val="30"/>
            </w:trPr>
            <w:sdt>
              <w:sdtPr>
                <w:tag w:val="goog_rdk_646"/>
                <w:id w:val="4259287"/>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Acompañar 20 Alcaldía(s) Local(es) Acompañar a Alcaldías Locales en la implementación de sus planes de gestión turística</w:t>
                    </w:r>
                  </w:p>
                </w:tc>
              </w:sdtContent>
            </w:sdt>
            <w:sdt>
              <w:sdtPr>
                <w:tag w:val="goog_rdk_647"/>
                <w:id w:val="1516962787"/>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$ 468</w:t>
                    </w:r>
                  </w:p>
                </w:tc>
              </w:sdtContent>
            </w:sdt>
            <w:sdt>
              <w:sdtPr>
                <w:tag w:val="goog_rdk_648"/>
                <w:id w:val="-716281657"/>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$ 467</w:t>
                    </w:r>
                  </w:p>
                </w:tc>
              </w:sdtContent>
            </w:sdt>
            <w:sdt>
              <w:sdtPr>
                <w:tag w:val="goog_rdk_649"/>
                <w:id w:val="-688952874"/>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$ 291</w:t>
                    </w:r>
                  </w:p>
                </w:tc>
              </w:sdtContent>
            </w:sdt>
            <w:sdt>
              <w:sdtPr>
                <w:tag w:val="goog_rdk_650"/>
                <w:id w:val="154911578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$ 416</w:t>
                    </w:r>
                  </w:p>
                </w:tc>
              </w:sdtContent>
            </w:sdt>
            <w:sdt>
              <w:sdtPr>
                <w:tag w:val="goog_rdk_651"/>
                <w:id w:val="2133659554"/>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-$ 52</w:t>
                    </w:r>
                  </w:p>
                </w:tc>
              </w:sdtContent>
            </w:sdt>
          </w:tr>
          <w:tr w:rsidR="00743DA6">
            <w:trPr>
              <w:trHeight w:val="795"/>
            </w:trPr>
            <w:sdt>
              <w:sdtPr>
                <w:tag w:val="goog_rdk_652"/>
                <w:id w:val="-246523675"/>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6 - Implementar 8 Acción(es) Implementar acciones estratégicas de sensibilización sobre apropiación de Bogotá como destino turístico, uso y disfrute del espacio público en Zonas de Interés Turístico (ZIT).</w:t>
                    </w:r>
                  </w:p>
                </w:tc>
              </w:sdtContent>
            </w:sdt>
            <w:sdt>
              <w:sdtPr>
                <w:tag w:val="goog_rdk_653"/>
                <w:id w:val="-16557802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$ 120</w:t>
                    </w:r>
                  </w:p>
                </w:tc>
              </w:sdtContent>
            </w:sdt>
            <w:sdt>
              <w:sdtPr>
                <w:tag w:val="goog_rdk_654"/>
                <w:id w:val="1612063213"/>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$ 120</w:t>
                    </w:r>
                  </w:p>
                </w:tc>
              </w:sdtContent>
            </w:sdt>
            <w:sdt>
              <w:sdtPr>
                <w:tag w:val="goog_rdk_655"/>
                <w:id w:val="1797047375"/>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$ 58</w:t>
                    </w:r>
                  </w:p>
                </w:tc>
              </w:sdtContent>
            </w:sdt>
            <w:sdt>
              <w:sdtPr>
                <w:tag w:val="goog_rdk_656"/>
                <w:id w:val="25369406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$ 72</w:t>
                    </w:r>
                  </w:p>
                </w:tc>
              </w:sdtContent>
            </w:sdt>
            <w:sdt>
              <w:sdtPr>
                <w:tag w:val="goog_rdk_657"/>
                <w:id w:val="2032188170"/>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-$ 48</w:t>
                    </w:r>
                  </w:p>
                </w:tc>
              </w:sdtContent>
            </w:sdt>
          </w:tr>
          <w:tr w:rsidR="00743DA6">
            <w:trPr>
              <w:trHeight w:val="1215"/>
            </w:trPr>
            <w:sdt>
              <w:sdtPr>
                <w:tag w:val="goog_rdk_658"/>
                <w:id w:val="-1940658632"/>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9 - Mantener, modernizar y/o implementar 100 Porciento Mantener, modernizar y/o implementar elementos de infraestructura turística liviana priorizada por el IDT, en Bogotá D.C. y la región</w:t>
                    </w:r>
                  </w:p>
                </w:tc>
              </w:sdtContent>
            </w:sdt>
            <w:sdt>
              <w:sdtPr>
                <w:tag w:val="goog_rdk_659"/>
                <w:id w:val="-165002329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$ 309</w:t>
                    </w:r>
                  </w:p>
                </w:tc>
              </w:sdtContent>
            </w:sdt>
            <w:sdt>
              <w:sdtPr>
                <w:tag w:val="goog_rdk_660"/>
                <w:id w:val="758594437"/>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$ 0</w:t>
                    </w:r>
                  </w:p>
                </w:tc>
              </w:sdtContent>
            </w:sdt>
            <w:sdt>
              <w:sdtPr>
                <w:tag w:val="goog_rdk_661"/>
                <w:id w:val="-1735381504"/>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$ 0</w:t>
                    </w:r>
                  </w:p>
                </w:tc>
              </w:sdtContent>
            </w:sdt>
            <w:sdt>
              <w:sdtPr>
                <w:tag w:val="goog_rdk_662"/>
                <w:id w:val="204094626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$ 237</w:t>
                    </w:r>
                  </w:p>
                </w:tc>
              </w:sdtContent>
            </w:sdt>
            <w:sdt>
              <w:sdtPr>
                <w:tag w:val="goog_rdk_663"/>
                <w:id w:val="-2042797196"/>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-$ 72</w:t>
                    </w:r>
                  </w:p>
                </w:tc>
              </w:sdtContent>
            </w:sdt>
          </w:tr>
          <w:tr w:rsidR="00743DA6">
            <w:trPr>
              <w:trHeight w:val="390"/>
            </w:trPr>
            <w:sdt>
              <w:sdtPr>
                <w:tag w:val="goog_rdk_664"/>
                <w:id w:val="1509938616"/>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11 - Implementar 100 Porciento Implementar el 100% de una estrategia para promover a Bogotá como destino turístico accesible</w:t>
                    </w:r>
                  </w:p>
                </w:tc>
              </w:sdtContent>
            </w:sdt>
            <w:sdt>
              <w:sdtPr>
                <w:tag w:val="goog_rdk_665"/>
                <w:id w:val="-117370053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$ 92</w:t>
                    </w:r>
                  </w:p>
                </w:tc>
              </w:sdtContent>
            </w:sdt>
            <w:sdt>
              <w:sdtPr>
                <w:tag w:val="goog_rdk_666"/>
                <w:id w:val="-1191656539"/>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$ 92</w:t>
                    </w:r>
                  </w:p>
                </w:tc>
              </w:sdtContent>
            </w:sdt>
            <w:sdt>
              <w:sdtPr>
                <w:tag w:val="goog_rdk_667"/>
                <w:id w:val="404204450"/>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$ 60</w:t>
                    </w:r>
                  </w:p>
                </w:tc>
              </w:sdtContent>
            </w:sdt>
            <w:sdt>
              <w:sdtPr>
                <w:tag w:val="goog_rdk_668"/>
                <w:id w:val="644584277"/>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$ 82</w:t>
                    </w:r>
                  </w:p>
                </w:tc>
              </w:sdtContent>
            </w:sdt>
            <w:sdt>
              <w:sdtPr>
                <w:tag w:val="goog_rdk_669"/>
                <w:id w:val="1248262107"/>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-$ 10</w:t>
                    </w:r>
                  </w:p>
                </w:tc>
              </w:sdtContent>
            </w:sdt>
          </w:tr>
          <w:tr w:rsidR="00743DA6">
            <w:trPr>
              <w:trHeight w:val="1035"/>
            </w:trPr>
            <w:sdt>
              <w:sdtPr>
                <w:tag w:val="goog_rdk_670"/>
                <w:id w:val="1847438451"/>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Acompañar 300 Proyecto(s) Acompañar la formulación de 300 proyectos turísticos que contribuyan al desarrollo social, cultural y económico de la ciudad de Bogotá</w:t>
                    </w:r>
                  </w:p>
                </w:tc>
              </w:sdtContent>
            </w:sdt>
            <w:sdt>
              <w:sdtPr>
                <w:tag w:val="goog_rdk_671"/>
                <w:id w:val="-46240820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$ 325</w:t>
                    </w:r>
                  </w:p>
                </w:tc>
              </w:sdtContent>
            </w:sdt>
            <w:sdt>
              <w:sdtPr>
                <w:tag w:val="goog_rdk_672"/>
                <w:id w:val="1528896800"/>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$ 158</w:t>
                    </w:r>
                  </w:p>
                </w:tc>
              </w:sdtContent>
            </w:sdt>
            <w:sdt>
              <w:sdtPr>
                <w:tag w:val="goog_rdk_673"/>
                <w:id w:val="-1571687955"/>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$ 0</w:t>
                    </w:r>
                  </w:p>
                </w:tc>
              </w:sdtContent>
            </w:sdt>
            <w:sdt>
              <w:sdtPr>
                <w:tag w:val="goog_rdk_674"/>
                <w:id w:val="-1856868791"/>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$ 150</w:t>
                    </w:r>
                  </w:p>
                </w:tc>
              </w:sdtContent>
            </w:sdt>
            <w:sdt>
              <w:sdtPr>
                <w:tag w:val="goog_rdk_675"/>
                <w:id w:val="188886696"/>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-$ 175</w:t>
                    </w:r>
                  </w:p>
                </w:tc>
              </w:sdtContent>
            </w:sdt>
          </w:tr>
          <w:tr w:rsidR="00743DA6">
            <w:trPr>
              <w:trHeight w:val="435"/>
            </w:trPr>
            <w:sdt>
              <w:sdtPr>
                <w:tag w:val="goog_rdk_676"/>
                <w:id w:val="-2117985835"/>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Implementación 1 Centro(s) Implementación de un centro de desarrollo turístico para Bogotá que incluye diseño y construcción.</w:t>
                    </w:r>
                  </w:p>
                </w:tc>
              </w:sdtContent>
            </w:sdt>
            <w:sdt>
              <w:sdtPr>
                <w:tag w:val="goog_rdk_677"/>
                <w:id w:val="18216971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$ 1,032</w:t>
                    </w:r>
                  </w:p>
                </w:tc>
              </w:sdtContent>
            </w:sdt>
            <w:sdt>
              <w:sdtPr>
                <w:tag w:val="goog_rdk_678"/>
                <w:id w:val="-1210298211"/>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$ 91</w:t>
                    </w:r>
                  </w:p>
                </w:tc>
              </w:sdtContent>
            </w:sdt>
            <w:sdt>
              <w:sdtPr>
                <w:tag w:val="goog_rdk_679"/>
                <w:id w:val="-1749291525"/>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$ 61</w:t>
                    </w:r>
                  </w:p>
                </w:tc>
              </w:sdtContent>
            </w:sdt>
            <w:sdt>
              <w:sdtPr>
                <w:tag w:val="goog_rdk_680"/>
                <w:id w:val="-115598698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$ 100</w:t>
                    </w:r>
                  </w:p>
                </w:tc>
              </w:sdtContent>
            </w:sdt>
            <w:sdt>
              <w:sdtPr>
                <w:tag w:val="goog_rdk_681"/>
                <w:id w:val="1355725338"/>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-$ 932</w:t>
                    </w:r>
                  </w:p>
                </w:tc>
              </w:sdtContent>
            </w:sdt>
          </w:tr>
          <w:tr w:rsidR="00743DA6">
            <w:trPr>
              <w:trHeight w:val="405"/>
            </w:trPr>
            <w:sdt>
              <w:sdtPr>
                <w:tag w:val="goog_rdk_682"/>
                <w:id w:val="1596558949"/>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Implementar 1 Estrategia(s) Posicionar a Bogotá como plataforma turística nacional e internacional</w:t>
                    </w:r>
                  </w:p>
                </w:tc>
              </w:sdtContent>
            </w:sdt>
            <w:sdt>
              <w:sdtPr>
                <w:tag w:val="goog_rdk_683"/>
                <w:id w:val="-196490126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$ 464</w:t>
                    </w:r>
                  </w:p>
                </w:tc>
              </w:sdtContent>
            </w:sdt>
            <w:sdt>
              <w:sdtPr>
                <w:tag w:val="goog_rdk_684"/>
                <w:id w:val="-365432651"/>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$ 415</w:t>
                    </w:r>
                  </w:p>
                </w:tc>
              </w:sdtContent>
            </w:sdt>
            <w:sdt>
              <w:sdtPr>
                <w:tag w:val="goog_rdk_685"/>
                <w:id w:val="-1762850804"/>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$ 179</w:t>
                    </w:r>
                  </w:p>
                </w:tc>
              </w:sdtContent>
            </w:sdt>
            <w:sdt>
              <w:sdtPr>
                <w:tag w:val="goog_rdk_686"/>
                <w:id w:val="-115332586"/>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$ 450</w:t>
                    </w:r>
                  </w:p>
                </w:tc>
              </w:sdtContent>
            </w:sdt>
            <w:sdt>
              <w:sdtPr>
                <w:tag w:val="goog_rdk_687"/>
                <w:id w:val="-333681898"/>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-$ 14</w:t>
                    </w:r>
                  </w:p>
                </w:tc>
              </w:sdtContent>
            </w:sdt>
          </w:tr>
          <w:tr w:rsidR="00743DA6">
            <w:trPr>
              <w:trHeight w:val="1215"/>
            </w:trPr>
            <w:sdt>
              <w:sdtPr>
                <w:tag w:val="goog_rdk_688"/>
                <w:id w:val="1943129963"/>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Vincular 100 Prestadores de servicio turístico Vincular a prestadores de servicios turisticos en procesos de formación y/o sensibilización en apropiación de ciudad y/o billinguismo</w:t>
                    </w:r>
                  </w:p>
                </w:tc>
              </w:sdtContent>
            </w:sdt>
            <w:sdt>
              <w:sdtPr>
                <w:tag w:val="goog_rdk_689"/>
                <w:id w:val="108083728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$ 103</w:t>
                    </w:r>
                  </w:p>
                </w:tc>
              </w:sdtContent>
            </w:sdt>
            <w:sdt>
              <w:sdtPr>
                <w:tag w:val="goog_rdk_690"/>
                <w:id w:val="1669631697"/>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$ 103</w:t>
                    </w:r>
                  </w:p>
                </w:tc>
              </w:sdtContent>
            </w:sdt>
            <w:sdt>
              <w:sdtPr>
                <w:tag w:val="goog_rdk_691"/>
                <w:id w:val="-1264027317"/>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$ 24</w:t>
                    </w:r>
                  </w:p>
                </w:tc>
              </w:sdtContent>
            </w:sdt>
            <w:sdt>
              <w:sdtPr>
                <w:tag w:val="goog_rdk_692"/>
                <w:id w:val="-133634868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$ 100</w:t>
                    </w:r>
                  </w:p>
                </w:tc>
              </w:sdtContent>
            </w:sdt>
            <w:sdt>
              <w:sdtPr>
                <w:tag w:val="goog_rdk_693"/>
                <w:id w:val="-565487331"/>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-$ 3</w:t>
                    </w:r>
                  </w:p>
                </w:tc>
              </w:sdtContent>
            </w:sdt>
          </w:tr>
          <w:tr w:rsidR="00743DA6">
            <w:trPr>
              <w:trHeight w:val="1080"/>
            </w:trPr>
            <w:sdt>
              <w:sdtPr>
                <w:tag w:val="goog_rdk_694"/>
                <w:id w:val="128058320"/>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Conservar 100 Porciento Conservar la capacidad operativa para el funcionamiento de la entidad</w:t>
                    </w:r>
                  </w:p>
                </w:tc>
              </w:sdtContent>
            </w:sdt>
            <w:sdt>
              <w:sdtPr>
                <w:tag w:val="goog_rdk_695"/>
                <w:id w:val="134483423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$ 237</w:t>
                    </w:r>
                  </w:p>
                </w:tc>
              </w:sdtContent>
            </w:sdt>
            <w:sdt>
              <w:sdtPr>
                <w:tag w:val="goog_rdk_696"/>
                <w:id w:val="-1230242028"/>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w:t>
                    </w:r>
                  </w:p>
                </w:tc>
              </w:sdtContent>
            </w:sdt>
            <w:sdt>
              <w:sdtPr>
                <w:tag w:val="goog_rdk_697"/>
                <w:id w:val="56315276"/>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w:t>
                    </w:r>
                  </w:p>
                </w:tc>
              </w:sdtContent>
            </w:sdt>
            <w:sdt>
              <w:sdtPr>
                <w:tag w:val="goog_rdk_698"/>
                <w:id w:val="-1700860405"/>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$ 164</w:t>
                    </w:r>
                  </w:p>
                </w:tc>
              </w:sdtContent>
            </w:sdt>
            <w:sdt>
              <w:sdtPr>
                <w:tag w:val="goog_rdk_699"/>
                <w:id w:val="-1177784743"/>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-$ 73</w:t>
                    </w:r>
                  </w:p>
                </w:tc>
              </w:sdtContent>
            </w:sdt>
          </w:tr>
          <w:tr w:rsidR="00743DA6">
            <w:trPr>
              <w:trHeight w:val="810"/>
            </w:trPr>
            <w:sdt>
              <w:sdtPr>
                <w:tag w:val="goog_rdk_700"/>
                <w:id w:val="1415313300"/>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Fortalecer 100 Porciento Fortalecer la apropiación del Modelo Integrado de Planeación y Gestión.</w:t>
                    </w:r>
                  </w:p>
                </w:tc>
              </w:sdtContent>
            </w:sdt>
            <w:sdt>
              <w:sdtPr>
                <w:tag w:val="goog_rdk_701"/>
                <w:id w:val="-1005226328"/>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$ 186</w:t>
                    </w:r>
                  </w:p>
                </w:tc>
              </w:sdtContent>
            </w:sdt>
            <w:sdt>
              <w:sdtPr>
                <w:tag w:val="goog_rdk_702"/>
                <w:id w:val="1512498154"/>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$ 171</w:t>
                    </w:r>
                  </w:p>
                </w:tc>
              </w:sdtContent>
            </w:sdt>
            <w:sdt>
              <w:sdtPr>
                <w:tag w:val="goog_rdk_703"/>
                <w:id w:val="-221514209"/>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$ 96</w:t>
                    </w:r>
                  </w:p>
                </w:tc>
              </w:sdtContent>
            </w:sdt>
            <w:sdt>
              <w:sdtPr>
                <w:tag w:val="goog_rdk_704"/>
                <w:id w:val="-53969843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$ 181</w:t>
                    </w:r>
                  </w:p>
                </w:tc>
              </w:sdtContent>
            </w:sdt>
            <w:sdt>
              <w:sdtPr>
                <w:tag w:val="goog_rdk_705"/>
                <w:id w:val="1889071961"/>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-$ 4</w:t>
                    </w:r>
                  </w:p>
                </w:tc>
              </w:sdtContent>
            </w:sdt>
          </w:tr>
          <w:tr w:rsidR="00743DA6">
            <w:trPr>
              <w:trHeight w:val="945"/>
            </w:trPr>
            <w:sdt>
              <w:sdtPr>
                <w:tag w:val="goog_rdk_706"/>
                <w:id w:val="-1403744811"/>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Proveer 100 Porciento Proveer el recurso humano idóneo para apoyar la gestión de las áreas transversales de la entidad</w:t>
                    </w:r>
                  </w:p>
                </w:tc>
              </w:sdtContent>
            </w:sdt>
            <w:sdt>
              <w:sdtPr>
                <w:tag w:val="goog_rdk_707"/>
                <w:id w:val="-140628102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$ 2,464</w:t>
                    </w:r>
                  </w:p>
                </w:tc>
              </w:sdtContent>
            </w:sdt>
            <w:sdt>
              <w:sdtPr>
                <w:tag w:val="goog_rdk_708"/>
                <w:id w:val="267599437"/>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$ 2,129</w:t>
                    </w:r>
                  </w:p>
                </w:tc>
              </w:sdtContent>
            </w:sdt>
            <w:sdt>
              <w:sdtPr>
                <w:tag w:val="goog_rdk_709"/>
                <w:id w:val="-932610752"/>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$ 1,439</w:t>
                    </w:r>
                  </w:p>
                </w:tc>
              </w:sdtContent>
            </w:sdt>
            <w:sdt>
              <w:sdtPr>
                <w:tag w:val="goog_rdk_710"/>
                <w:id w:val="1023761192"/>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$ 2,053</w:t>
                    </w:r>
                  </w:p>
                </w:tc>
              </w:sdtContent>
            </w:sdt>
            <w:sdt>
              <w:sdtPr>
                <w:tag w:val="goog_rdk_711"/>
                <w:id w:val="-2095778570"/>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color w:val="FF0000"/>
                        <w:sz w:val="18"/>
                        <w:szCs w:val="18"/>
                      </w:rPr>
                    </w:pPr>
                    <w:r>
                      <w:rPr>
                        <w:rFonts w:ascii="Arial" w:eastAsia="Arial" w:hAnsi="Arial" w:cs="Arial"/>
                        <w:color w:val="FF0000"/>
                        <w:sz w:val="18"/>
                        <w:szCs w:val="18"/>
                      </w:rPr>
                      <w:t>-$ 411</w:t>
                    </w:r>
                  </w:p>
                </w:tc>
              </w:sdtContent>
            </w:sdt>
          </w:tr>
          <w:tr w:rsidR="00743DA6">
            <w:trPr>
              <w:trHeight w:val="510"/>
            </w:trPr>
            <w:sdt>
              <w:sdtPr>
                <w:tag w:val="goog_rdk_712"/>
                <w:id w:val="735093510"/>
                <w:lock w:val="contentLocked"/>
              </w:sdtPr>
              <w:sdtEndPr/>
              <w:sdtContent>
                <w:tc>
                  <w:tcPr>
                    <w:tcW w:w="427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Realizar 60 Documento(s) Realizar documentos de investigación del sector turismo.</w:t>
                    </w:r>
                  </w:p>
                </w:tc>
              </w:sdtContent>
            </w:sdt>
            <w:sdt>
              <w:sdtPr>
                <w:tag w:val="goog_rdk_713"/>
                <w:id w:val="-2134276940"/>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$ 2,113</w:t>
                    </w:r>
                  </w:p>
                </w:tc>
              </w:sdtContent>
            </w:sdt>
            <w:sdt>
              <w:sdtPr>
                <w:tag w:val="goog_rdk_714"/>
                <w:id w:val="234947320"/>
                <w:lock w:val="contentLocked"/>
              </w:sdtPr>
              <w:sdtEndPr/>
              <w:sdtContent>
                <w:tc>
                  <w:tcPr>
                    <w:tcW w:w="1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$ 1,815</w:t>
                    </w:r>
                  </w:p>
                </w:tc>
              </w:sdtContent>
            </w:sdt>
            <w:sdt>
              <w:sdtPr>
                <w:tag w:val="goog_rdk_715"/>
                <w:id w:val="470663683"/>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$ 744</w:t>
                    </w:r>
                  </w:p>
                </w:tc>
              </w:sdtContent>
            </w:sdt>
            <w:sdt>
              <w:sdtPr>
                <w:tag w:val="goog_rdk_716"/>
                <w:id w:val="-1261395304"/>
                <w:lock w:val="contentLocked"/>
              </w:sdtPr>
              <w:sdtEndPr/>
              <w:sdtContent>
                <w:tc>
                  <w:tcPr>
                    <w:tcW w:w="7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$ 1,750</w:t>
                    </w:r>
                  </w:p>
                </w:tc>
              </w:sdtContent>
            </w:sdt>
            <w:sdt>
              <w:sdtPr>
                <w:tag w:val="goog_rdk_717"/>
                <w:id w:val="2009702961"/>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-$ 363</w:t>
                    </w:r>
                  </w:p>
                </w:tc>
              </w:sdtContent>
            </w:sdt>
          </w:tr>
        </w:tbl>
      </w:sdtContent>
    </w:sdt>
    <w:p w:rsidR="00743DA6" w:rsidRDefault="00D95D19">
      <w:pPr>
        <w:spacing w:line="276" w:lineRule="auto"/>
        <w:jc w:val="both"/>
      </w:pP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jc w:val="both"/>
        <w:rPr>
          <w:sz w:val="22"/>
          <w:szCs w:val="22"/>
        </w:rPr>
      </w:pPr>
      <w:r>
        <w:rPr>
          <w:sz w:val="22"/>
          <w:szCs w:val="22"/>
        </w:rPr>
        <w:t>Las reducciones presupuestales del IDT se concentran en aquellas líneas que presentaron menores niveles de ejecución durante 2025, lo cual sugiere un ajuste orientado a corregir desbalances entre programación y capacidad operativa. El proyecto “Fortalecimiento de la gestión institucional y operativa del Instituto Distrital de Turismo” registra una disminución de –$411 millones, afectando la provisión de personal para áreas transversales y de apoyo. La decisión se toma en un contexto donde la actividad ejecutó el 58,4% de sus recursos en 2025, lo que indica que la ampliación de planta y servicios administrativos no alcanzó el ritmo esperado. Bajo esta misma lógica, el proyecto “Fortalecimiento de la capacidad del Sistema Distrital de Turismo” presenta el mayor ajuste, con una reducción de –$932 millones para la implementación del Centro de Desarrollo Turístico, actividad que en la vigencia anterior ejecutó solo el 5,9%, señalando barreras significativas para adelantar procesos contractuales e iniciar obras.</w:t>
      </w:r>
    </w:p>
    <w:p w:rsidR="00743DA6" w:rsidRDefault="00743DA6">
      <w:pPr>
        <w:spacing w:before="240" w:after="240"/>
        <w:jc w:val="both"/>
        <w:rPr>
          <w:sz w:val="22"/>
          <w:szCs w:val="22"/>
        </w:rPr>
      </w:pPr>
    </w:p>
    <w:p w:rsidR="00743DA6" w:rsidRDefault="00D95D19">
      <w:pPr>
        <w:spacing w:before="240" w:after="240"/>
        <w:jc w:val="both"/>
        <w:rPr>
          <w:sz w:val="22"/>
          <w:szCs w:val="22"/>
        </w:rPr>
      </w:pPr>
      <w:r>
        <w:rPr>
          <w:sz w:val="22"/>
          <w:szCs w:val="22"/>
        </w:rPr>
        <w:t>En la misma línea, se reduce en –$363 millones la actividad orientada a investigación y gestión de información turística dentro del proyecto “Implementación de un modelo de gestión de información estadística para el sector turismo”. Aunque esta función es estratégica para la producción de inteligencia de mercado, la ejecución en 2025 fue del 35,2%, lo cual explica el ajuste para 2026. Este conjunto de variaciones presupuestales revela un patrón consistente: las actividades con menor nivel de giro o avance contractual en la vigencia previa son sometidas a reducciones proporcionales en la programación del año siguiente. Ello reconfigura la estructura interna del IDT para 2026 y plantea un escenario donde los proyectos misionales dependerán de mejoras concretas en los procesos de planeación, contratación y ejecución para recuperar su peso presupuestal en la siguiente vigencia.</w:t>
      </w:r>
    </w:p>
    <w:p w:rsidR="00743DA6" w:rsidRDefault="00D95D19">
      <w:pPr>
        <w:pStyle w:val="Ttulo3"/>
        <w:keepNext w:val="0"/>
        <w:keepLines w:val="0"/>
        <w:spacing w:before="280" w:after="80"/>
        <w:jc w:val="both"/>
        <w:rPr>
          <w:rFonts w:ascii="Arial" w:eastAsia="Arial" w:hAnsi="Arial" w:cs="Arial"/>
          <w:b/>
          <w:bCs/>
          <w:color w:val="000000"/>
          <w:sz w:val="22"/>
          <w:szCs w:val="22"/>
        </w:rPr>
      </w:pPr>
      <w:bookmarkStart w:id="18" w:name="_heading=h.313enian8i8m" w:colFirst="0" w:colLast="0"/>
      <w:bookmarkEnd w:id="18"/>
      <w:r>
        <w:rPr>
          <w:rFonts w:ascii="Arial" w:eastAsia="Arial" w:hAnsi="Arial" w:cs="Arial"/>
          <w:b/>
          <w:bCs/>
          <w:color w:val="000000"/>
          <w:sz w:val="22"/>
          <w:szCs w:val="22"/>
        </w:rPr>
        <w:t>1. Actividades con Recorte Presupuestal</w:t>
      </w:r>
    </w:p>
    <w:p w:rsidR="00743DA6" w:rsidRDefault="00D95D19">
      <w:pPr>
        <w:spacing w:before="240" w:after="240"/>
        <w:jc w:val="both"/>
        <w:rPr>
          <w:sz w:val="22"/>
          <w:szCs w:val="22"/>
        </w:rPr>
      </w:pPr>
      <w:r>
        <w:rPr>
          <w:sz w:val="22"/>
          <w:szCs w:val="22"/>
        </w:rPr>
        <w:t>El análisis individual de las actividades que sufren reducciones confirma que el ajuste presupuestal del IDT para 2026 es una medida correctiva ante la parálisis operativa de 2025. Los recortes más severos se aplican a componentes de infraestructura y gestión institucional que no lograron materializar su inversión.</w:t>
      </w:r>
    </w:p>
    <w:p w:rsidR="00743DA6" w:rsidRDefault="00D95D19">
      <w:pPr>
        <w:spacing w:before="240" w:after="240"/>
        <w:jc w:val="both"/>
        <w:rPr>
          <w:sz w:val="22"/>
          <w:szCs w:val="22"/>
        </w:rPr>
      </w:pPr>
      <w:r>
        <w:rPr>
          <w:sz w:val="22"/>
          <w:szCs w:val="22"/>
        </w:rPr>
        <w:t xml:space="preserve">Infraestructura Turística (Centro de Desarrollo): El recorte más drástico, de -$931.5 millones, recae sobre la actividad </w:t>
      </w:r>
      <w:r>
        <w:rPr>
          <w:i/>
          <w:iCs/>
          <w:sz w:val="22"/>
          <w:szCs w:val="22"/>
        </w:rPr>
        <w:t>"Implementación de un centro de desarrollo turístico para Bogotá"</w:t>
      </w:r>
      <w:r>
        <w:rPr>
          <w:sz w:val="22"/>
          <w:szCs w:val="22"/>
        </w:rPr>
        <w:t xml:space="preserve">, perteneciente al proyecto de </w:t>
      </w:r>
      <w:r>
        <w:rPr>
          <w:i/>
          <w:iCs/>
          <w:sz w:val="22"/>
          <w:szCs w:val="22"/>
        </w:rPr>
        <w:t>Fortalecimiento de la capacidad del Sistema Distrital de Turismo</w:t>
      </w:r>
      <w:r>
        <w:rPr>
          <w:sz w:val="22"/>
          <w:szCs w:val="22"/>
        </w:rPr>
        <w:t>. Esta actividad tuvo una ejecución crítica de apenas el 5.9% en 2025. La casi total inoperancia en este rubro justifica la desinversión, pues asignar recursos a una obra que no inicia sería ineficiente.</w:t>
      </w:r>
    </w:p>
    <w:p w:rsidR="00743DA6" w:rsidRDefault="00D95D19">
      <w:pPr>
        <w:spacing w:before="240" w:after="240"/>
        <w:jc w:val="both"/>
        <w:rPr>
          <w:sz w:val="22"/>
          <w:szCs w:val="22"/>
        </w:rPr>
      </w:pPr>
      <w:r>
        <w:rPr>
          <w:sz w:val="22"/>
          <w:szCs w:val="22"/>
        </w:rPr>
        <w:t xml:space="preserve">Recurso Humano Transversal: Se reduce en -$411 millones la actividad </w:t>
      </w:r>
      <w:r>
        <w:rPr>
          <w:i/>
          <w:iCs/>
          <w:sz w:val="22"/>
          <w:szCs w:val="22"/>
        </w:rPr>
        <w:t>"Proveer el recurso humano idóneo para apoyar la gestión de las áreas transversales"</w:t>
      </w:r>
      <w:r>
        <w:rPr>
          <w:sz w:val="22"/>
          <w:szCs w:val="22"/>
        </w:rPr>
        <w:t xml:space="preserve">, del proyecto de </w:t>
      </w:r>
      <w:r>
        <w:rPr>
          <w:i/>
          <w:iCs/>
          <w:sz w:val="22"/>
          <w:szCs w:val="22"/>
        </w:rPr>
        <w:t>Fortalecimiento de la gestión institucional</w:t>
      </w:r>
      <w:r>
        <w:rPr>
          <w:sz w:val="22"/>
          <w:szCs w:val="22"/>
        </w:rPr>
        <w:t>. Con una ejecución del 58.4%, este recorte debilita la capacidad administrativa de la entidad, lo cual es riesgoso dado que precisamente se requiere fortalecer la gestión para mejorar la ejecución global.</w:t>
      </w:r>
    </w:p>
    <w:p w:rsidR="00743DA6" w:rsidRDefault="00D95D19">
      <w:pPr>
        <w:spacing w:before="240" w:after="240"/>
        <w:jc w:val="both"/>
        <w:rPr>
          <w:sz w:val="22"/>
          <w:szCs w:val="22"/>
        </w:rPr>
      </w:pPr>
      <w:r>
        <w:rPr>
          <w:sz w:val="22"/>
          <w:szCs w:val="22"/>
        </w:rPr>
        <w:t xml:space="preserve">Investigación y Estadística: La actividad </w:t>
      </w:r>
      <w:r>
        <w:rPr>
          <w:i/>
          <w:iCs/>
          <w:sz w:val="22"/>
          <w:szCs w:val="22"/>
        </w:rPr>
        <w:t>"Realizar documentos de investigación del sector turismo"</w:t>
      </w:r>
      <w:r>
        <w:rPr>
          <w:sz w:val="22"/>
          <w:szCs w:val="22"/>
        </w:rPr>
        <w:t xml:space="preserve">, parte del proyecto de </w:t>
      </w:r>
      <w:r>
        <w:rPr>
          <w:i/>
          <w:iCs/>
          <w:sz w:val="22"/>
          <w:szCs w:val="22"/>
        </w:rPr>
        <w:t>Implementación de un modelo de gestión de información estadística</w:t>
      </w:r>
      <w:r>
        <w:rPr>
          <w:sz w:val="22"/>
          <w:szCs w:val="22"/>
        </w:rPr>
        <w:t>, sufre un recorte de -$363 millones. Su ejecución fue baja (35.2%), lo que implica que la entidad redujo su producción de inteligencia de mercado, afectando la toma de decisiones basada en datos.</w:t>
      </w:r>
    </w:p>
    <w:p w:rsidR="00743DA6" w:rsidRDefault="00D95D19">
      <w:pPr>
        <w:spacing w:before="240" w:after="240"/>
        <w:jc w:val="both"/>
        <w:rPr>
          <w:sz w:val="22"/>
          <w:szCs w:val="22"/>
        </w:rPr>
      </w:pPr>
      <w:r>
        <w:rPr>
          <w:sz w:val="22"/>
          <w:szCs w:val="22"/>
        </w:rPr>
        <w:t xml:space="preserve">Destino Inteligente: La actividad </w:t>
      </w:r>
      <w:r>
        <w:rPr>
          <w:i/>
          <w:iCs/>
          <w:sz w:val="22"/>
          <w:szCs w:val="22"/>
        </w:rPr>
        <w:t>"Implementar productos para que Bogotá continúe siendo un Destino Turístico Inteligente"</w:t>
      </w:r>
      <w:r>
        <w:rPr>
          <w:sz w:val="22"/>
          <w:szCs w:val="22"/>
        </w:rPr>
        <w:t xml:space="preserve"> se recorta en -$265 millones tras una ejecución deficiente del 34.2%. Esto señala un estancamiento en la modernización tecnológica y competitiva del destino.</w:t>
      </w:r>
    </w:p>
    <w:p w:rsidR="00743DA6" w:rsidRDefault="00D95D19">
      <w:pPr>
        <w:spacing w:before="240" w:after="240"/>
        <w:jc w:val="both"/>
        <w:rPr>
          <w:b/>
          <w:bCs/>
          <w:sz w:val="22"/>
          <w:szCs w:val="22"/>
        </w:rPr>
      </w:pPr>
      <w:r>
        <w:rPr>
          <w:sz w:val="22"/>
          <w:szCs w:val="22"/>
        </w:rPr>
        <w:t xml:space="preserve">Proyectos Turísticos (Cero Ejecución): La actividad </w:t>
      </w:r>
      <w:r>
        <w:rPr>
          <w:i/>
          <w:iCs/>
          <w:sz w:val="22"/>
          <w:szCs w:val="22"/>
        </w:rPr>
        <w:t>"Acompañar la formulación de 300 proyectos turísticos"</w:t>
      </w:r>
      <w:r>
        <w:rPr>
          <w:sz w:val="22"/>
          <w:szCs w:val="22"/>
        </w:rPr>
        <w:t xml:space="preserve"> pierde -$174.5 millones. Lo alarmante es que su ejecución en giros fue del 0% en 2025, lo que indica que este componente de apoyo al emprendimiento turístico estuvo totalmente paralizado.</w:t>
      </w:r>
    </w:p>
    <w:p w:rsidR="00743DA6" w:rsidRDefault="00743DA6">
      <w:pPr>
        <w:rPr>
          <w:b/>
          <w:bCs/>
        </w:rPr>
      </w:pPr>
    </w:p>
    <w:p w:rsidR="00743DA6" w:rsidRDefault="00D95D19">
      <w:pPr>
        <w:rPr>
          <w:b/>
          <w:bCs/>
          <w:sz w:val="22"/>
          <w:szCs w:val="22"/>
        </w:rPr>
      </w:pPr>
      <w:r>
        <w:rPr>
          <w:b/>
          <w:bCs/>
          <w:sz w:val="22"/>
          <w:szCs w:val="22"/>
        </w:rPr>
        <w:t>Tabla No. 40. Análisis de actividades que presentan aumento presupuestal</w:t>
      </w:r>
    </w:p>
    <w:p w:rsidR="00743DA6" w:rsidRDefault="00743DA6">
      <w:pPr>
        <w:rPr>
          <w:b/>
          <w:bCs/>
        </w:rPr>
      </w:pPr>
    </w:p>
    <w:sdt>
      <w:sdtPr>
        <w:rPr>
          <w:rFonts w:ascii="Arial" w:eastAsia="Arial" w:hAnsi="Arial" w:cs="Arial"/>
          <w:sz w:val="24"/>
          <w:szCs w:val="24"/>
          <w:lang w:val="es" w:eastAsia="es-CO"/>
        </w:rPr>
        <w:tag w:val="goog_rdk_761"/>
        <w:id w:val="2098367900"/>
        <w:lock w:val="contentLocked"/>
      </w:sdtPr>
      <w:sdtEndPr/>
      <w:sdtContent>
        <w:tbl>
          <w:tblPr>
            <w:tblStyle w:val="afffffff4"/>
            <w:tblW w:w="8820" w:type="dxa"/>
            <w:tblBorders>
              <w:top w:val="nil"/>
              <w:left w:val="nil"/>
              <w:bottom w:val="nil"/>
              <w:right w:val="nil"/>
              <w:insideH w:val="nil"/>
              <w:insideV w:val="nil"/>
            </w:tblBorders>
            <w:tblLayout w:type="fixed"/>
            <w:tblLook w:val="0600" w:firstRow="0" w:lastRow="0" w:firstColumn="0" w:lastColumn="0" w:noHBand="1" w:noVBand="1"/>
          </w:tblPr>
          <w:tblGrid>
            <w:gridCol w:w="3990"/>
            <w:gridCol w:w="765"/>
            <w:gridCol w:w="1140"/>
            <w:gridCol w:w="765"/>
            <w:gridCol w:w="690"/>
            <w:gridCol w:w="1470"/>
          </w:tblGrid>
          <w:tr w:rsidR="00743DA6">
            <w:trPr>
              <w:trHeight w:val="540"/>
            </w:trPr>
            <w:tc>
              <w:tcPr>
                <w:tcW w:w="8820" w:type="dxa"/>
                <w:gridSpan w:val="6"/>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jc w:val="center"/>
                  <w:rPr>
                    <w:rFonts w:ascii="Arial" w:eastAsia="Arial" w:hAnsi="Arial" w:cs="Arial"/>
                    <w:b/>
                    <w:bCs/>
                  </w:rPr>
                </w:pPr>
                <w:r>
                  <w:rPr>
                    <w:rFonts w:ascii="Arial" w:eastAsia="Arial" w:hAnsi="Arial" w:cs="Arial"/>
                    <w:b/>
                    <w:bCs/>
                  </w:rPr>
                  <w:t>Actividades que presentan aumento presupuestal 2025 - 2025</w:t>
                </w:r>
              </w:p>
              <w:p w:rsidR="00743DA6" w:rsidRDefault="00743DA6">
                <w:pPr>
                  <w:spacing w:line="276" w:lineRule="auto"/>
                  <w:rPr>
                    <w:rFonts w:ascii="Arial" w:eastAsia="Arial" w:hAnsi="Arial" w:cs="Arial"/>
                    <w:b/>
                    <w:bCs/>
                    <w:sz w:val="18"/>
                    <w:szCs w:val="18"/>
                  </w:rPr>
                </w:pPr>
              </w:p>
            </w:tc>
          </w:tr>
          <w:tr w:rsidR="00743DA6">
            <w:trPr>
              <w:trHeight w:val="540"/>
            </w:trPr>
            <w:sdt>
              <w:sdtPr>
                <w:tag w:val="goog_rdk_719"/>
                <w:id w:val="-1089061988"/>
                <w:lock w:val="contentLocked"/>
              </w:sdtPr>
              <w:sdtEndPr/>
              <w:sdtContent>
                <w:tc>
                  <w:tcPr>
                    <w:tcW w:w="3990" w:type="dxa"/>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ACTIVIDAD</w:t>
                    </w:r>
                  </w:p>
                </w:tc>
              </w:sdtContent>
            </w:sdt>
            <w:sdt>
              <w:sdtPr>
                <w:tag w:val="goog_rdk_720"/>
                <w:id w:val="607709087"/>
                <w:lock w:val="contentLocked"/>
              </w:sdtPr>
              <w:sdtEndPr/>
              <w:sdtContent>
                <w:tc>
                  <w:tcPr>
                    <w:tcW w:w="76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2025</w:t>
                    </w:r>
                  </w:p>
                </w:tc>
              </w:sdtContent>
            </w:sdt>
            <w:sdt>
              <w:sdtPr>
                <w:tag w:val="goog_rdk_721"/>
                <w:id w:val="1466388996"/>
                <w:lock w:val="contentLocked"/>
              </w:sdtPr>
              <w:sdtEndPr/>
              <w:sdtContent>
                <w:tc>
                  <w:tcPr>
                    <w:tcW w:w="114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CONTRATADO 2025</w:t>
                    </w:r>
                  </w:p>
                </w:tc>
              </w:sdtContent>
            </w:sdt>
            <w:sdt>
              <w:sdtPr>
                <w:tag w:val="goog_rdk_722"/>
                <w:id w:val="-1697454760"/>
                <w:lock w:val="contentLocked"/>
              </w:sdtPr>
              <w:sdtEndPr/>
              <w:sdtContent>
                <w:tc>
                  <w:tcPr>
                    <w:tcW w:w="76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GIRADO 2025</w:t>
                    </w:r>
                  </w:p>
                </w:tc>
              </w:sdtContent>
            </w:sdt>
            <w:sdt>
              <w:sdtPr>
                <w:tag w:val="goog_rdk_723"/>
                <w:id w:val="-749077093"/>
                <w:lock w:val="contentLocked"/>
              </w:sdtPr>
              <w:sdtEndPr/>
              <w:sdtContent>
                <w:tc>
                  <w:tcPr>
                    <w:tcW w:w="69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PRESUPUESTO 2026</w:t>
                    </w:r>
                  </w:p>
                </w:tc>
              </w:sdtContent>
            </w:sdt>
            <w:sdt>
              <w:sdtPr>
                <w:tag w:val="goog_rdk_724"/>
                <w:id w:val="1960704469"/>
                <w:lock w:val="contentLocked"/>
              </w:sdtPr>
              <w:sdtEndPr/>
              <w:sdtContent>
                <w:tc>
                  <w:tcPr>
                    <w:tcW w:w="147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DIFERENCIA 2025 - 2026</w:t>
                    </w:r>
                  </w:p>
                </w:tc>
              </w:sdtContent>
            </w:sdt>
          </w:tr>
          <w:tr w:rsidR="00743DA6">
            <w:trPr>
              <w:trHeight w:val="615"/>
            </w:trPr>
            <w:sdt>
              <w:sdtPr>
                <w:tag w:val="goog_rdk_725"/>
                <w:id w:val="-1118501693"/>
                <w:lock w:val="contentLocked"/>
              </w:sdtPr>
              <w:sdtEndPr/>
              <w:sdtContent>
                <w:tc>
                  <w:tcPr>
                    <w:tcW w:w="39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Acompañar 60 Experiencia(s) Acompañar la puesta en marcha de experiencias turísticas, que incluyan de turismo social y comunitario.</w:t>
                    </w:r>
                  </w:p>
                </w:tc>
              </w:sdtContent>
            </w:sdt>
            <w:sdt>
              <w:sdtPr>
                <w:tag w:val="goog_rdk_726"/>
                <w:id w:val="617409998"/>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$ 712</w:t>
                    </w:r>
                  </w:p>
                </w:tc>
              </w:sdtContent>
            </w:sdt>
            <w:sdt>
              <w:sdtPr>
                <w:tag w:val="goog_rdk_727"/>
                <w:id w:val="-1092830089"/>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$ 695</w:t>
                    </w:r>
                  </w:p>
                </w:tc>
              </w:sdtContent>
            </w:sdt>
            <w:sdt>
              <w:sdtPr>
                <w:tag w:val="goog_rdk_728"/>
                <w:id w:val="-122759239"/>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$ 381</w:t>
                    </w:r>
                  </w:p>
                </w:tc>
              </w:sdtContent>
            </w:sdt>
            <w:sdt>
              <w:sdtPr>
                <w:tag w:val="goog_rdk_729"/>
                <w:id w:val="893746474"/>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$ 733</w:t>
                    </w:r>
                  </w:p>
                </w:tc>
              </w:sdtContent>
            </w:sdt>
            <w:sdt>
              <w:sdtPr>
                <w:tag w:val="goog_rdk_730"/>
                <w:id w:val="663953630"/>
                <w:lock w:val="contentLocked"/>
              </w:sdtPr>
              <w:sdtEndPr/>
              <w:sdtContent>
                <w:tc>
                  <w:tcPr>
                    <w:tcW w:w="14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w:t>
                    </w:r>
                  </w:p>
                </w:tc>
              </w:sdtContent>
            </w:sdt>
          </w:tr>
          <w:tr w:rsidR="00743DA6">
            <w:trPr>
              <w:trHeight w:val="1560"/>
            </w:trPr>
            <w:sdt>
              <w:sdtPr>
                <w:tag w:val="goog_rdk_731"/>
                <w:id w:val="999099269"/>
                <w:lock w:val="contentLocked"/>
              </w:sdtPr>
              <w:sdtEndPr/>
              <w:sdtContent>
                <w:tc>
                  <w:tcPr>
                    <w:tcW w:w="39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5 - Desarrollar 5 Iniciativa(s) Desarrollar iniciativas de articulación público privada para la generación de una cultura de seguridad turística, prevención de la ESCNNA y Trata de Personas en Zonas de Interés Turístico (ZIT).</w:t>
                    </w:r>
                  </w:p>
                </w:tc>
              </w:sdtContent>
            </w:sdt>
            <w:sdt>
              <w:sdtPr>
                <w:tag w:val="goog_rdk_732"/>
                <w:id w:val="1764319419"/>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$ 118</w:t>
                    </w:r>
                  </w:p>
                </w:tc>
              </w:sdtContent>
            </w:sdt>
            <w:sdt>
              <w:sdtPr>
                <w:tag w:val="goog_rdk_733"/>
                <w:id w:val="1960082817"/>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$ 118</w:t>
                    </w:r>
                  </w:p>
                </w:tc>
              </w:sdtContent>
            </w:sdt>
            <w:sdt>
              <w:sdtPr>
                <w:tag w:val="goog_rdk_734"/>
                <w:id w:val="1279439844"/>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$ 76</w:t>
                    </w:r>
                  </w:p>
                </w:tc>
              </w:sdtContent>
            </w:sdt>
            <w:sdt>
              <w:sdtPr>
                <w:tag w:val="goog_rdk_735"/>
                <w:id w:val="679048604"/>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$ 127</w:t>
                    </w:r>
                  </w:p>
                </w:tc>
              </w:sdtContent>
            </w:sdt>
            <w:sdt>
              <w:sdtPr>
                <w:tag w:val="goog_rdk_736"/>
                <w:id w:val="956403982"/>
                <w:lock w:val="contentLocked"/>
              </w:sdtPr>
              <w:sdtEndPr/>
              <w:sdtContent>
                <w:tc>
                  <w:tcPr>
                    <w:tcW w:w="14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w:t>
                    </w:r>
                  </w:p>
                </w:tc>
              </w:sdtContent>
            </w:sdt>
          </w:tr>
          <w:tr w:rsidR="00743DA6">
            <w:trPr>
              <w:trHeight w:val="900"/>
            </w:trPr>
            <w:sdt>
              <w:sdtPr>
                <w:tag w:val="goog_rdk_737"/>
                <w:id w:val="1365690546"/>
                <w:lock w:val="contentLocked"/>
              </w:sdtPr>
              <w:sdtEndPr/>
              <w:sdtContent>
                <w:tc>
                  <w:tcPr>
                    <w:tcW w:w="39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10 - Asistir 240 Prestadores de servicio turístico Asistir técnicamente 240 Prestadores de Servicios Turísticos en calidad turística</w:t>
                    </w:r>
                  </w:p>
                </w:tc>
              </w:sdtContent>
            </w:sdt>
            <w:sdt>
              <w:sdtPr>
                <w:tag w:val="goog_rdk_738"/>
                <w:id w:val="-689945662"/>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w:t>
                    </w:r>
                  </w:p>
                </w:tc>
              </w:sdtContent>
            </w:sdt>
            <w:sdt>
              <w:sdtPr>
                <w:tag w:val="goog_rdk_739"/>
                <w:id w:val="992075799"/>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w:t>
                    </w:r>
                  </w:p>
                </w:tc>
              </w:sdtContent>
            </w:sdt>
            <w:sdt>
              <w:sdtPr>
                <w:tag w:val="goog_rdk_740"/>
                <w:id w:val="-326792417"/>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w:t>
                    </w:r>
                  </w:p>
                </w:tc>
              </w:sdtContent>
            </w:sdt>
            <w:sdt>
              <w:sdtPr>
                <w:tag w:val="goog_rdk_741"/>
                <w:id w:val="-644125298"/>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$ 82</w:t>
                    </w:r>
                  </w:p>
                </w:tc>
              </w:sdtContent>
            </w:sdt>
            <w:sdt>
              <w:sdtPr>
                <w:tag w:val="goog_rdk_742"/>
                <w:id w:val="-220068050"/>
                <w:lock w:val="contentLocked"/>
              </w:sdtPr>
              <w:sdtEndPr/>
              <w:sdtContent>
                <w:tc>
                  <w:tcPr>
                    <w:tcW w:w="14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$ 45</w:t>
                    </w:r>
                  </w:p>
                </w:tc>
              </w:sdtContent>
            </w:sdt>
          </w:tr>
          <w:tr w:rsidR="00743DA6">
            <w:trPr>
              <w:trHeight w:val="885"/>
            </w:trPr>
            <w:sdt>
              <w:sdtPr>
                <w:tag w:val="goog_rdk_743"/>
                <w:id w:val="-1172356045"/>
                <w:lock w:val="contentLocked"/>
              </w:sdtPr>
              <w:sdtEndPr/>
              <w:sdtContent>
                <w:tc>
                  <w:tcPr>
                    <w:tcW w:w="39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Generar 10 Alianza(s) Generar alianzas y estrategias publico privadas destinadas al apoyo de proyectos turísticos.</w:t>
                    </w:r>
                  </w:p>
                </w:tc>
              </w:sdtContent>
            </w:sdt>
            <w:sdt>
              <w:sdtPr>
                <w:tag w:val="goog_rdk_744"/>
                <w:id w:val="-1517784612"/>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$ 501</w:t>
                    </w:r>
                  </w:p>
                </w:tc>
              </w:sdtContent>
            </w:sdt>
            <w:sdt>
              <w:sdtPr>
                <w:tag w:val="goog_rdk_745"/>
                <w:id w:val="-718772034"/>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$ 481</w:t>
                    </w:r>
                  </w:p>
                </w:tc>
              </w:sdtContent>
            </w:sdt>
            <w:sdt>
              <w:sdtPr>
                <w:tag w:val="goog_rdk_746"/>
                <w:id w:val="853397567"/>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$ 316</w:t>
                    </w:r>
                  </w:p>
                </w:tc>
              </w:sdtContent>
            </w:sdt>
            <w:sdt>
              <w:sdtPr>
                <w:tag w:val="goog_rdk_747"/>
                <w:id w:val="-1751403631"/>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$ 700</w:t>
                    </w:r>
                  </w:p>
                </w:tc>
              </w:sdtContent>
            </w:sdt>
            <w:sdt>
              <w:sdtPr>
                <w:tag w:val="goog_rdk_748"/>
                <w:id w:val="517870607"/>
                <w:lock w:val="contentLocked"/>
              </w:sdtPr>
              <w:sdtEndPr/>
              <w:sdtContent>
                <w:tc>
                  <w:tcPr>
                    <w:tcW w:w="14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$ 199</w:t>
                    </w:r>
                  </w:p>
                </w:tc>
              </w:sdtContent>
            </w:sdt>
          </w:tr>
          <w:tr w:rsidR="00743DA6">
            <w:trPr>
              <w:trHeight w:val="675"/>
            </w:trPr>
            <w:sdt>
              <w:sdtPr>
                <w:tag w:val="goog_rdk_749"/>
                <w:id w:val="-1354985490"/>
                <w:lock w:val="contentLocked"/>
              </w:sdtPr>
              <w:sdtEndPr/>
              <w:sdtContent>
                <w:tc>
                  <w:tcPr>
                    <w:tcW w:w="39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Impactar 2000000 Persona(s) y/o actores de la cadena de valor del sector a través de acciones de marketing 360.</w:t>
                    </w:r>
                  </w:p>
                </w:tc>
              </w:sdtContent>
            </w:sdt>
            <w:sdt>
              <w:sdtPr>
                <w:tag w:val="goog_rdk_750"/>
                <w:id w:val="-167452473"/>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$ 2,768</w:t>
                    </w:r>
                  </w:p>
                </w:tc>
              </w:sdtContent>
            </w:sdt>
            <w:sdt>
              <w:sdtPr>
                <w:tag w:val="goog_rdk_751"/>
                <w:id w:val="-682315508"/>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$ 2,658</w:t>
                    </w:r>
                  </w:p>
                </w:tc>
              </w:sdtContent>
            </w:sdt>
            <w:sdt>
              <w:sdtPr>
                <w:tag w:val="goog_rdk_752"/>
                <w:id w:val="179398355"/>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$ 1,199</w:t>
                    </w:r>
                  </w:p>
                </w:tc>
              </w:sdtContent>
            </w:sdt>
            <w:sdt>
              <w:sdtPr>
                <w:tag w:val="goog_rdk_753"/>
                <w:id w:val="2025902807"/>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$ 3,040</w:t>
                    </w:r>
                  </w:p>
                </w:tc>
              </w:sdtContent>
            </w:sdt>
            <w:sdt>
              <w:sdtPr>
                <w:tag w:val="goog_rdk_754"/>
                <w:id w:val="1364691816"/>
                <w:lock w:val="contentLocked"/>
              </w:sdtPr>
              <w:sdtEndPr/>
              <w:sdtContent>
                <w:tc>
                  <w:tcPr>
                    <w:tcW w:w="14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$ 272</w:t>
                    </w:r>
                  </w:p>
                </w:tc>
              </w:sdtContent>
            </w:sdt>
          </w:tr>
          <w:tr w:rsidR="00743DA6">
            <w:trPr>
              <w:trHeight w:val="765"/>
            </w:trPr>
            <w:sdt>
              <w:sdtPr>
                <w:tag w:val="goog_rdk_755"/>
                <w:id w:val="690083017"/>
                <w:lock w:val="contentLocked"/>
              </w:sdtPr>
              <w:sdtEndPr/>
              <w:sdtContent>
                <w:tc>
                  <w:tcPr>
                    <w:tcW w:w="39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Conservar 100 Porciento Conservar la infraestructura tecnológica garantizando el hardware y software para la entidad.</w:t>
                    </w:r>
                  </w:p>
                </w:tc>
              </w:sdtContent>
            </w:sdt>
            <w:sdt>
              <w:sdtPr>
                <w:tag w:val="goog_rdk_756"/>
                <w:id w:val="641715870"/>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$ 1,432</w:t>
                    </w:r>
                  </w:p>
                </w:tc>
              </w:sdtContent>
            </w:sdt>
            <w:sdt>
              <w:sdtPr>
                <w:tag w:val="goog_rdk_757"/>
                <w:id w:val="1091750006"/>
                <w:lock w:val="contentLocked"/>
              </w:sdtPr>
              <w:sdtEndPr/>
              <w:sdtContent>
                <w:tc>
                  <w:tcPr>
                    <w:tcW w:w="11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$ 1,209</w:t>
                    </w:r>
                  </w:p>
                </w:tc>
              </w:sdtContent>
            </w:sdt>
            <w:sdt>
              <w:sdtPr>
                <w:tag w:val="goog_rdk_758"/>
                <w:id w:val="767206865"/>
                <w:lock w:val="contentLocked"/>
              </w:sdtPr>
              <w:sdtEndPr/>
              <w:sdtContent>
                <w:tc>
                  <w:tcPr>
                    <w:tcW w:w="7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$ 583</w:t>
                    </w:r>
                  </w:p>
                </w:tc>
              </w:sdtContent>
            </w:sdt>
            <w:sdt>
              <w:sdtPr>
                <w:tag w:val="goog_rdk_759"/>
                <w:id w:val="104448931"/>
                <w:lock w:val="contentLocked"/>
              </w:sdtPr>
              <w:sdtEndPr/>
              <w:sdtContent>
                <w:tc>
                  <w:tcPr>
                    <w:tcW w:w="69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$ 1,590</w:t>
                    </w:r>
                  </w:p>
                </w:tc>
              </w:sdtContent>
            </w:sdt>
            <w:sdt>
              <w:sdtPr>
                <w:tag w:val="goog_rdk_760"/>
                <w:id w:val="1556298741"/>
                <w:lock w:val="contentLocked"/>
              </w:sdtPr>
              <w:sdtEndPr/>
              <w:sdtContent>
                <w:tc>
                  <w:tcPr>
                    <w:tcW w:w="147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$ 158</w:t>
                    </w:r>
                  </w:p>
                </w:tc>
              </w:sdtContent>
            </w:sdt>
          </w:tr>
        </w:tbl>
      </w:sdtContent>
    </w:sdt>
    <w:p w:rsidR="00743DA6" w:rsidRDefault="00D95D19">
      <w:pPr>
        <w:spacing w:line="276" w:lineRule="auto"/>
        <w:jc w:val="both"/>
      </w:pP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jc w:val="both"/>
        <w:rPr>
          <w:sz w:val="22"/>
          <w:szCs w:val="22"/>
        </w:rPr>
      </w:pPr>
      <w:r>
        <w:rPr>
          <w:sz w:val="22"/>
          <w:szCs w:val="22"/>
        </w:rPr>
        <w:t>Los aumentos de inversión en 2026 se enfocan marcadamente en la promoción turística, aunque esta priorización viene acompañada de un riesgo fiscal inherente debido a sus niveles de ejecución. El mayor incremento se dirige al proyecto "Desarrollo de acciones de marketing que permitan el posicionamiento y consolidación de la ciudad como destino turístico", con una adición de +$272 millones para las acciones de marketing 360. Esta inversión, aunque fundamental para el posicionamiento de Bogotá, conlleva un riesgo de inmovilización de recursos, ya que su ejecución en 2025 fue moderada, alcanzando solo el 43.3%.</w:t>
      </w:r>
    </w:p>
    <w:p w:rsidR="00743DA6" w:rsidRDefault="00D95D19">
      <w:pPr>
        <w:spacing w:before="240" w:after="240"/>
        <w:jc w:val="both"/>
        <w:rPr>
          <w:sz w:val="22"/>
          <w:szCs w:val="22"/>
        </w:rPr>
      </w:pPr>
      <w:r>
        <w:rPr>
          <w:sz w:val="22"/>
          <w:szCs w:val="22"/>
        </w:rPr>
        <w:t>De manera similar, el proyecto "Apoyo a Proyectos Turísticos" recibe un aumento de +$199 millones para generar alianzas público-privadas. Este es un componente crucial para el desarrollo de la cadena de valor, pero su ejecución fue del 63.1%, lo cual, si bien es aceptable, requiere un seguimiento estricto para evitar el sobredimensionamiento. Finalmente, se destina un aumento de +$158 millones para la conservación de la infraestructura tecnológica (hardware y software), pese a que esta actividad tuvo una ejecución baja del 40.7% en 2025. Esta apuesta implica una priorización de la modernización tecnológica que debe ser compensada con una mejora sustancial en la capacidad de contratación para el próximo año.</w:t>
      </w:r>
    </w:p>
    <w:p w:rsidR="00743DA6" w:rsidRDefault="00D95D19">
      <w:pPr>
        <w:pStyle w:val="Ttulo3"/>
        <w:keepNext w:val="0"/>
        <w:keepLines w:val="0"/>
        <w:spacing w:before="280" w:after="80"/>
        <w:jc w:val="both"/>
        <w:rPr>
          <w:rFonts w:ascii="Arial" w:eastAsia="Arial" w:hAnsi="Arial" w:cs="Arial"/>
          <w:b/>
          <w:bCs/>
          <w:color w:val="000000"/>
          <w:sz w:val="22"/>
          <w:szCs w:val="22"/>
        </w:rPr>
      </w:pPr>
      <w:bookmarkStart w:id="19" w:name="_heading=h.zfrt3awrrlf0" w:colFirst="0" w:colLast="0"/>
      <w:bookmarkEnd w:id="19"/>
      <w:r>
        <w:rPr>
          <w:rFonts w:ascii="Arial" w:eastAsia="Arial" w:hAnsi="Arial" w:cs="Arial"/>
          <w:b/>
          <w:bCs/>
          <w:color w:val="000000"/>
          <w:sz w:val="22"/>
          <w:szCs w:val="22"/>
        </w:rPr>
        <w:t>2. Actividades con Aumento Presupuestal</w:t>
      </w:r>
    </w:p>
    <w:p w:rsidR="00743DA6" w:rsidRDefault="00D95D19">
      <w:pPr>
        <w:spacing w:before="240" w:after="240"/>
        <w:jc w:val="both"/>
        <w:rPr>
          <w:sz w:val="22"/>
          <w:szCs w:val="22"/>
        </w:rPr>
      </w:pPr>
      <w:r>
        <w:rPr>
          <w:sz w:val="22"/>
          <w:szCs w:val="22"/>
        </w:rPr>
        <w:t>A pesar de la crisis operativa, el presupuesto 2026 apuesta por reforzar la promoción y la infraestructura tecnológica, aunque estas áreas también presentaron retos en su ejecución.</w:t>
      </w:r>
    </w:p>
    <w:p w:rsidR="00743DA6" w:rsidRDefault="00D95D19">
      <w:pPr>
        <w:spacing w:before="240" w:after="240"/>
        <w:jc w:val="both"/>
        <w:rPr>
          <w:sz w:val="22"/>
          <w:szCs w:val="22"/>
        </w:rPr>
      </w:pPr>
      <w:r>
        <w:rPr>
          <w:sz w:val="22"/>
          <w:szCs w:val="22"/>
        </w:rPr>
        <w:t xml:space="preserve">Marketing y Promoción: El aumento más significativo, de +$272 millones, se asigna a la actividad </w:t>
      </w:r>
      <w:r>
        <w:rPr>
          <w:i/>
          <w:iCs/>
          <w:sz w:val="22"/>
          <w:szCs w:val="22"/>
        </w:rPr>
        <w:t>"Impactar actores a través de acciones de marketing 360"</w:t>
      </w:r>
      <w:r>
        <w:rPr>
          <w:sz w:val="22"/>
          <w:szCs w:val="22"/>
        </w:rPr>
        <w:t xml:space="preserve">, del proyecto de </w:t>
      </w:r>
      <w:r>
        <w:rPr>
          <w:i/>
          <w:iCs/>
          <w:sz w:val="22"/>
          <w:szCs w:val="22"/>
        </w:rPr>
        <w:t>Desarrollo de acciones de marketing</w:t>
      </w:r>
      <w:r>
        <w:rPr>
          <w:sz w:val="22"/>
          <w:szCs w:val="22"/>
        </w:rPr>
        <w:t>. Esta es una apuesta clara por la visibilidad de la ciudad. Sin embargo, conlleva un riesgo fiscal alto, dado que esta misma actividad solo ejecutó el 43.3% de sus recursos en 2025. Se entregan más recursos a un área que tuvo dificultades para gastar, lo que exige un plan de choque en contratación.</w:t>
      </w:r>
    </w:p>
    <w:p w:rsidR="00743DA6" w:rsidRDefault="00D95D19">
      <w:pPr>
        <w:spacing w:before="240" w:after="240"/>
        <w:jc w:val="both"/>
        <w:rPr>
          <w:sz w:val="22"/>
          <w:szCs w:val="22"/>
        </w:rPr>
      </w:pPr>
      <w:r>
        <w:rPr>
          <w:sz w:val="22"/>
          <w:szCs w:val="22"/>
        </w:rPr>
        <w:t xml:space="preserve">Alianzas Público-Privadas: Se incrementa en +$199 millones la actividad </w:t>
      </w:r>
      <w:r>
        <w:rPr>
          <w:i/>
          <w:iCs/>
          <w:sz w:val="22"/>
          <w:szCs w:val="22"/>
        </w:rPr>
        <w:t>"Generar alianzas destinadas al apoyo de proyectos turísticos"</w:t>
      </w:r>
      <w:r>
        <w:rPr>
          <w:sz w:val="22"/>
          <w:szCs w:val="22"/>
        </w:rPr>
        <w:t xml:space="preserve">, del proyecto de </w:t>
      </w:r>
      <w:r>
        <w:rPr>
          <w:i/>
          <w:iCs/>
          <w:sz w:val="22"/>
          <w:szCs w:val="22"/>
        </w:rPr>
        <w:t>Apoyo a Proyectos Turísticos</w:t>
      </w:r>
      <w:r>
        <w:rPr>
          <w:sz w:val="22"/>
          <w:szCs w:val="22"/>
        </w:rPr>
        <w:t>. Con una ejecución del 63.1%, esta es una de las líneas con mejor desempeño relativo, lo que justifica el refuerzo para apalancar recursos con el sector privado.</w:t>
      </w:r>
    </w:p>
    <w:p w:rsidR="00743DA6" w:rsidRDefault="00D95D19">
      <w:pPr>
        <w:spacing w:before="240" w:after="240"/>
        <w:jc w:val="both"/>
        <w:rPr>
          <w:sz w:val="22"/>
          <w:szCs w:val="22"/>
        </w:rPr>
      </w:pPr>
      <w:r>
        <w:rPr>
          <w:sz w:val="22"/>
          <w:szCs w:val="22"/>
        </w:rPr>
        <w:t xml:space="preserve">Infraestructura Tecnológica: La actividad </w:t>
      </w:r>
      <w:r>
        <w:rPr>
          <w:i/>
          <w:iCs/>
          <w:sz w:val="22"/>
          <w:szCs w:val="22"/>
        </w:rPr>
        <w:t>"Conservar la infraestructura tecnológica (hardware y software)"</w:t>
      </w:r>
      <w:r>
        <w:rPr>
          <w:sz w:val="22"/>
          <w:szCs w:val="22"/>
        </w:rPr>
        <w:t xml:space="preserve">, del proyecto de </w:t>
      </w:r>
      <w:r>
        <w:rPr>
          <w:i/>
          <w:iCs/>
          <w:sz w:val="22"/>
          <w:szCs w:val="22"/>
        </w:rPr>
        <w:t>Gestión Institucional</w:t>
      </w:r>
      <w:r>
        <w:rPr>
          <w:sz w:val="22"/>
          <w:szCs w:val="22"/>
        </w:rPr>
        <w:t>, recibe +$158 millones adicionales. Al igual que en marketing, este aumento contrasta con una ejecución baja del 40.7%, sugiriendo una necesidad urgente de renovación tecnológica que no se logró concretar en la vigencia anterior.</w:t>
      </w:r>
    </w:p>
    <w:p w:rsidR="00743DA6" w:rsidRDefault="00D95D19">
      <w:pPr>
        <w:spacing w:before="240" w:after="240"/>
        <w:jc w:val="both"/>
      </w:pPr>
      <w:r>
        <w:rPr>
          <w:sz w:val="22"/>
          <w:szCs w:val="22"/>
        </w:rPr>
        <w:t xml:space="preserve">Calidad Turística: Finalmente, se destaca un pequeño pero eficiente aumento de +$45 millones para la actividad </w:t>
      </w:r>
      <w:r>
        <w:rPr>
          <w:i/>
          <w:iCs/>
          <w:sz w:val="22"/>
          <w:szCs w:val="22"/>
        </w:rPr>
        <w:t>"Asistir técnicamente 240 Prestadores de Servicios Turísticos"</w:t>
      </w:r>
      <w:r>
        <w:rPr>
          <w:sz w:val="22"/>
          <w:szCs w:val="22"/>
        </w:rPr>
        <w:t>. Esta actividad tuvo la mejor ejecución del grupo analizado (75.5%), lo que demuestra que el trabajo directo con los prestadores es uno de los puntos fuertes de la entidad que se busca potenciar.</w:t>
      </w:r>
    </w:p>
    <w:p w:rsidR="00743DA6" w:rsidRDefault="00D95D19">
      <w:pPr>
        <w:pBdr>
          <w:top w:val="nil"/>
          <w:left w:val="nil"/>
          <w:bottom w:val="nil"/>
          <w:right w:val="nil"/>
          <w:between w:val="nil"/>
        </w:pBdr>
        <w:spacing w:line="259" w:lineRule="auto"/>
        <w:rPr>
          <w:b/>
          <w:bCs/>
          <w:color w:val="000000"/>
        </w:rPr>
      </w:pPr>
      <w:r>
        <w:rPr>
          <w:b/>
          <w:bCs/>
          <w:color w:val="000000"/>
        </w:rPr>
        <w:t xml:space="preserve">Instituto Distrital de la Participación y Acción Comunal </w:t>
      </w:r>
    </w:p>
    <w:p w:rsidR="00743DA6" w:rsidRDefault="00743DA6">
      <w:pPr>
        <w:pBdr>
          <w:top w:val="nil"/>
          <w:left w:val="nil"/>
          <w:bottom w:val="nil"/>
          <w:right w:val="nil"/>
          <w:between w:val="nil"/>
        </w:pBdr>
        <w:spacing w:line="259" w:lineRule="auto"/>
        <w:rPr>
          <w:b/>
          <w:bCs/>
        </w:rPr>
      </w:pPr>
    </w:p>
    <w:p w:rsidR="00743DA6" w:rsidRDefault="00D95D19">
      <w:pPr>
        <w:spacing w:line="276" w:lineRule="auto"/>
        <w:jc w:val="center"/>
        <w:rPr>
          <w:sz w:val="22"/>
          <w:szCs w:val="22"/>
        </w:rPr>
      </w:pPr>
      <w:r>
        <w:rPr>
          <w:sz w:val="22"/>
          <w:szCs w:val="22"/>
        </w:rPr>
        <w:t>Gráfica Histórico Presupuestal 2022- 2025 Instituto Distrital de la Participación y Acción Comunal</w:t>
      </w:r>
    </w:p>
    <w:p w:rsidR="00743DA6" w:rsidRDefault="00D95D19">
      <w:pPr>
        <w:pBdr>
          <w:top w:val="nil"/>
          <w:left w:val="nil"/>
          <w:bottom w:val="nil"/>
          <w:right w:val="nil"/>
          <w:between w:val="nil"/>
        </w:pBdr>
        <w:spacing w:line="259" w:lineRule="auto"/>
        <w:rPr>
          <w:sz w:val="16"/>
          <w:szCs w:val="16"/>
        </w:rPr>
      </w:pPr>
      <w:r>
        <w:rPr>
          <w:b/>
          <w:bCs/>
          <w:noProof/>
          <w:lang w:val="es-CO"/>
        </w:rPr>
        <w:drawing>
          <wp:inline distT="114300" distB="114300" distL="114300" distR="114300">
            <wp:extent cx="5612130" cy="2197100"/>
            <wp:effectExtent l="0" t="0" r="0" b="0"/>
            <wp:docPr id="2127399607"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8"/>
                    <a:srcRect/>
                    <a:stretch>
                      <a:fillRect/>
                    </a:stretch>
                  </pic:blipFill>
                  <pic:spPr>
                    <a:xfrm>
                      <a:off x="0" y="0"/>
                      <a:ext cx="5612130" cy="21971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D95D19">
      <w:pPr>
        <w:spacing w:before="240" w:line="276" w:lineRule="auto"/>
        <w:jc w:val="both"/>
        <w:rPr>
          <w:sz w:val="22"/>
          <w:szCs w:val="22"/>
        </w:rPr>
      </w:pPr>
      <w:r>
        <w:rPr>
          <w:sz w:val="22"/>
          <w:szCs w:val="22"/>
        </w:rPr>
        <w:t>Mayor Disminución ( -10,92%): El proyecto que sufre el mayor recorte porcentual es el destinado al fortalecimiento directo de la participación incidente y la acción comunal. Este proyecto pasa de ser el más grande de la entidad a tener una reducción de más de 1.600 millones de pesos.</w:t>
      </w:r>
    </w:p>
    <w:p w:rsidR="00743DA6" w:rsidRDefault="00D95D19">
      <w:pPr>
        <w:spacing w:before="240" w:line="276" w:lineRule="auto"/>
        <w:jc w:val="both"/>
        <w:rPr>
          <w:sz w:val="22"/>
          <w:szCs w:val="22"/>
        </w:rPr>
      </w:pPr>
      <w:r>
        <w:rPr>
          <w:sz w:val="22"/>
          <w:szCs w:val="22"/>
        </w:rPr>
        <w:t>Menor Disminución ( -4,73%): El proyecto enfocado en el fortalecimiento de la capacidad institucional (gestión interna del IDPAC) también experimenta una reducción, aunque menos severa que el anterior.</w:t>
      </w:r>
    </w:p>
    <w:p w:rsidR="00743DA6" w:rsidRDefault="00743DA6">
      <w:pPr>
        <w:pBdr>
          <w:top w:val="nil"/>
          <w:left w:val="nil"/>
          <w:bottom w:val="nil"/>
          <w:right w:val="nil"/>
          <w:between w:val="nil"/>
        </w:pBdr>
        <w:spacing w:line="259" w:lineRule="auto"/>
        <w:rPr>
          <w:sz w:val="22"/>
          <w:szCs w:val="22"/>
        </w:rPr>
      </w:pPr>
    </w:p>
    <w:p w:rsidR="00743DA6" w:rsidRDefault="00D95D19">
      <w:pPr>
        <w:pBdr>
          <w:top w:val="nil"/>
          <w:left w:val="nil"/>
          <w:bottom w:val="nil"/>
          <w:right w:val="nil"/>
          <w:between w:val="nil"/>
        </w:pBdr>
        <w:spacing w:line="259" w:lineRule="auto"/>
        <w:jc w:val="center"/>
        <w:rPr>
          <w:sz w:val="22"/>
          <w:szCs w:val="22"/>
        </w:rPr>
      </w:pPr>
      <w:r>
        <w:rPr>
          <w:b/>
          <w:bCs/>
          <w:sz w:val="22"/>
          <w:szCs w:val="22"/>
        </w:rPr>
        <w:t xml:space="preserve">Tabla No. 41. </w:t>
      </w:r>
      <w:r>
        <w:rPr>
          <w:sz w:val="22"/>
          <w:szCs w:val="22"/>
        </w:rPr>
        <w:t>Tabla Programación Presupuestal Comparada del Instituto Distrital de la Participación y Acción Comunal Vigencia 2025 y Proyecto de Presupuesto 2026</w:t>
      </w:r>
      <w:r>
        <w:rPr>
          <w:noProof/>
          <w:sz w:val="22"/>
          <w:szCs w:val="22"/>
          <w:lang w:val="es-CO"/>
        </w:rPr>
        <w:drawing>
          <wp:inline distT="114300" distB="114300" distL="114300" distR="114300">
            <wp:extent cx="5610225" cy="2034874"/>
            <wp:effectExtent l="0" t="0" r="0" b="0"/>
            <wp:docPr id="212739960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9"/>
                    <a:srcRect/>
                    <a:stretch>
                      <a:fillRect/>
                    </a:stretch>
                  </pic:blipFill>
                  <pic:spPr>
                    <a:xfrm>
                      <a:off x="0" y="0"/>
                      <a:ext cx="5610225" cy="2034874"/>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743DA6">
      <w:pPr>
        <w:pBdr>
          <w:top w:val="nil"/>
          <w:left w:val="nil"/>
          <w:bottom w:val="nil"/>
          <w:right w:val="nil"/>
          <w:between w:val="nil"/>
        </w:pBdr>
        <w:spacing w:line="259" w:lineRule="auto"/>
        <w:ind w:left="720"/>
      </w:pPr>
    </w:p>
    <w:p w:rsidR="00743DA6" w:rsidRDefault="00D95D19">
      <w:pPr>
        <w:pBdr>
          <w:top w:val="nil"/>
          <w:left w:val="nil"/>
          <w:bottom w:val="nil"/>
          <w:right w:val="nil"/>
          <w:between w:val="nil"/>
        </w:pBdr>
        <w:spacing w:after="160" w:line="259" w:lineRule="auto"/>
        <w:rPr>
          <w:b/>
          <w:bCs/>
          <w:color w:val="000000"/>
          <w:sz w:val="22"/>
          <w:szCs w:val="22"/>
        </w:rPr>
      </w:pPr>
      <w:r>
        <w:rPr>
          <w:b/>
          <w:bCs/>
          <w:color w:val="000000"/>
          <w:sz w:val="22"/>
          <w:szCs w:val="22"/>
        </w:rPr>
        <w:t>Departamento Administrativo de la Defensoría del Espacio Público - DADEP</w:t>
      </w:r>
    </w:p>
    <w:p w:rsidR="00743DA6" w:rsidRDefault="00D95D19">
      <w:pPr>
        <w:pStyle w:val="Ttulo3"/>
        <w:keepNext w:val="0"/>
        <w:keepLines w:val="0"/>
        <w:spacing w:before="280" w:after="80" w:line="259" w:lineRule="auto"/>
        <w:rPr>
          <w:rFonts w:ascii="Arial" w:eastAsia="Arial" w:hAnsi="Arial" w:cs="Arial"/>
          <w:b/>
          <w:bCs/>
          <w:color w:val="000000"/>
          <w:sz w:val="22"/>
          <w:szCs w:val="22"/>
        </w:rPr>
      </w:pPr>
      <w:bookmarkStart w:id="20" w:name="_heading=h.tzdm3u56nms5" w:colFirst="0" w:colLast="0"/>
      <w:bookmarkEnd w:id="20"/>
      <w:r>
        <w:rPr>
          <w:rFonts w:ascii="Arial" w:eastAsia="Arial" w:hAnsi="Arial" w:cs="Arial"/>
          <w:b/>
          <w:bCs/>
          <w:color w:val="000000"/>
          <w:sz w:val="22"/>
          <w:szCs w:val="22"/>
        </w:rPr>
        <w:t>Análisis Fiscal Anual del DADEP (2022-2026)</w:t>
      </w:r>
    </w:p>
    <w:p w:rsidR="00743DA6" w:rsidRDefault="00D95D19">
      <w:pPr>
        <w:spacing w:before="240" w:after="240" w:line="259" w:lineRule="auto"/>
        <w:jc w:val="both"/>
        <w:rPr>
          <w:sz w:val="22"/>
          <w:szCs w:val="22"/>
        </w:rPr>
      </w:pPr>
      <w:r>
        <w:rPr>
          <w:sz w:val="22"/>
          <w:szCs w:val="22"/>
        </w:rPr>
        <w:t>El análisis del DADEP evidencia una trayectoria de eficiencia ejecutiva que transita de un desempeño óptimo hacia un deterioro marcado. En los primeros años del periodo, la entidad operó con una estructura presupuestal relativamente estable, lo que permitió alcanzar niveles de ejecución cercanos al 100 % en varios de sus proyectos. Este comportamiento reflejaba una alineación adecuada entre metas programadas, capacidad institucional y ritmo de ejecución. Sin embargo, la expansión presupuestal registrada a partir de 2023,particularmente en rubros de inversión y contratación de servicios asociados a la administración del espacio público, alteró de manera sustantiva ese equilibrio. El crecimiento del presupuesto no vino acompañado de un fortalecimiento paralelo de los sistemas internos de planeación, gestión contractual o soporte técnico-administrativo, elementos indispensables para absorber incrementos sostenidos en la base presupuestal.</w:t>
      </w:r>
    </w:p>
    <w:p w:rsidR="00743DA6" w:rsidRDefault="00D95D19">
      <w:pPr>
        <w:spacing w:before="240" w:after="240" w:line="259" w:lineRule="auto"/>
        <w:jc w:val="both"/>
        <w:rPr>
          <w:b/>
          <w:bCs/>
        </w:rPr>
      </w:pPr>
      <w:r>
        <w:rPr>
          <w:sz w:val="22"/>
          <w:szCs w:val="22"/>
        </w:rPr>
        <w:t>Como resultado, la entidad enfrentó en 2025 una carga operativa muy superior a su umbral real de ejecución, lo que produjo una caída abrupta en los niveles de compromiso y giro. Dicho desplome no debe interpretarse únicamente como un fallo coyuntural, sino como la manifestación típica del desfase entre expansión presupuestal y capacidad instalada. En particular, el DADEP presenta señales de congestión en las fases precontractual y contractual, rezagos en la estructuración de proyectos y una dependencia creciente de procesos tercerizados que limitan su autonomía operativa. Bajo estas condiciones, el incremento del presupuesto no genera mayor impacto, sino que</w:t>
      </w:r>
      <w:r>
        <w:rPr>
          <w:b/>
          <w:bCs/>
          <w:sz w:val="22"/>
          <w:szCs w:val="22"/>
        </w:rPr>
        <w:t xml:space="preserve"> amplifica </w:t>
      </w:r>
      <w:r>
        <w:rPr>
          <w:sz w:val="22"/>
          <w:szCs w:val="22"/>
        </w:rPr>
        <w:t>las ineficiencias existentes</w:t>
      </w:r>
      <w:r>
        <w:rPr>
          <w:b/>
          <w:bCs/>
          <w:sz w:val="22"/>
          <w:szCs w:val="22"/>
        </w:rPr>
        <w:t>,</w:t>
      </w:r>
      <w:r>
        <w:rPr>
          <w:sz w:val="22"/>
          <w:szCs w:val="22"/>
        </w:rPr>
        <w:t xml:space="preserve"> tensiona la gestión y erosiona la capacidad institucional para ejecutar recursos de manera oportuna y efectiva.</w:t>
      </w:r>
    </w:p>
    <w:p w:rsidR="00743DA6" w:rsidRDefault="00D95D19">
      <w:pPr>
        <w:pBdr>
          <w:top w:val="nil"/>
          <w:left w:val="nil"/>
          <w:bottom w:val="nil"/>
          <w:right w:val="nil"/>
          <w:between w:val="nil"/>
        </w:pBdr>
        <w:spacing w:after="160" w:line="259" w:lineRule="auto"/>
        <w:jc w:val="center"/>
        <w:rPr>
          <w:sz w:val="22"/>
          <w:szCs w:val="22"/>
        </w:rPr>
      </w:pPr>
      <w:r>
        <w:rPr>
          <w:sz w:val="22"/>
          <w:szCs w:val="22"/>
        </w:rPr>
        <w:t>Gráfica comportamiento presupuestal 2022 - 2026</w:t>
      </w:r>
    </w:p>
    <w:p w:rsidR="00743DA6" w:rsidRDefault="00D95D19">
      <w:pPr>
        <w:pBdr>
          <w:top w:val="nil"/>
          <w:left w:val="nil"/>
          <w:bottom w:val="nil"/>
          <w:right w:val="nil"/>
          <w:between w:val="nil"/>
        </w:pBdr>
        <w:spacing w:after="160" w:line="259" w:lineRule="auto"/>
      </w:pPr>
      <w:r>
        <w:rPr>
          <w:b/>
          <w:bCs/>
          <w:noProof/>
          <w:lang w:val="es-CO"/>
        </w:rPr>
        <w:drawing>
          <wp:inline distT="114300" distB="114300" distL="114300" distR="114300">
            <wp:extent cx="5612130" cy="3276600"/>
            <wp:effectExtent l="0" t="0" r="0" b="0"/>
            <wp:docPr id="212739959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0"/>
                    <a:srcRect/>
                    <a:stretch>
                      <a:fillRect/>
                    </a:stretch>
                  </pic:blipFill>
                  <pic:spPr>
                    <a:xfrm>
                      <a:off x="0" y="0"/>
                      <a:ext cx="5612130" cy="32766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743DA6">
      <w:pPr>
        <w:pBdr>
          <w:top w:val="nil"/>
          <w:left w:val="nil"/>
          <w:bottom w:val="nil"/>
          <w:right w:val="nil"/>
          <w:between w:val="nil"/>
        </w:pBdr>
        <w:spacing w:after="160" w:line="259" w:lineRule="auto"/>
      </w:pPr>
    </w:p>
    <w:p w:rsidR="00743DA6" w:rsidRDefault="00D95D19">
      <w:pPr>
        <w:pStyle w:val="Ttulo4"/>
        <w:keepNext w:val="0"/>
        <w:spacing w:after="40" w:line="259" w:lineRule="auto"/>
        <w:rPr>
          <w:rFonts w:ascii="Arial" w:eastAsia="Arial" w:hAnsi="Arial" w:cs="Arial"/>
          <w:sz w:val="22"/>
          <w:szCs w:val="22"/>
        </w:rPr>
      </w:pPr>
      <w:bookmarkStart w:id="21" w:name="_heading=h.li8gchqc2btz" w:colFirst="0" w:colLast="0"/>
      <w:bookmarkEnd w:id="21"/>
      <w:r>
        <w:rPr>
          <w:rFonts w:ascii="Arial" w:eastAsia="Arial" w:hAnsi="Arial" w:cs="Arial"/>
          <w:sz w:val="22"/>
          <w:szCs w:val="22"/>
        </w:rPr>
        <w:t>2022: El Estándar de Excelencia</w:t>
      </w:r>
    </w:p>
    <w:p w:rsidR="00743DA6" w:rsidRDefault="00D95D19">
      <w:pPr>
        <w:spacing w:before="240" w:after="240" w:line="259" w:lineRule="auto"/>
        <w:rPr>
          <w:sz w:val="22"/>
          <w:szCs w:val="22"/>
        </w:rPr>
      </w:pPr>
      <w:r>
        <w:rPr>
          <w:sz w:val="22"/>
          <w:szCs w:val="22"/>
        </w:rPr>
        <w:t>El periodo comienza con un presupuesto de $38.865 millones. En este año, el DADEP demostró una eficiencia ejemplar, logrando una ejecución de giros del 96.99%. Prácticamente cada peso asignado se convirtió en gestión efectiva, estableciendo un estándar alto de operación administrativa.</w:t>
      </w:r>
    </w:p>
    <w:p w:rsidR="00743DA6" w:rsidRDefault="00D95D19">
      <w:pPr>
        <w:pStyle w:val="Ttulo4"/>
        <w:keepNext w:val="0"/>
        <w:spacing w:after="40" w:line="259" w:lineRule="auto"/>
        <w:rPr>
          <w:rFonts w:ascii="Arial" w:eastAsia="Arial" w:hAnsi="Arial" w:cs="Arial"/>
          <w:sz w:val="22"/>
          <w:szCs w:val="22"/>
        </w:rPr>
      </w:pPr>
      <w:bookmarkStart w:id="22" w:name="_heading=h.ivt3ihkvzyyw" w:colFirst="0" w:colLast="0"/>
      <w:bookmarkEnd w:id="22"/>
      <w:r>
        <w:rPr>
          <w:rFonts w:ascii="Arial" w:eastAsia="Arial" w:hAnsi="Arial" w:cs="Arial"/>
          <w:sz w:val="22"/>
          <w:szCs w:val="22"/>
        </w:rPr>
        <w:t>2023: Estabilidad y Cumplimiento</w:t>
      </w:r>
    </w:p>
    <w:p w:rsidR="00743DA6" w:rsidRDefault="00D95D19">
      <w:pPr>
        <w:spacing w:before="240" w:after="240" w:line="259" w:lineRule="auto"/>
        <w:rPr>
          <w:sz w:val="22"/>
          <w:szCs w:val="22"/>
        </w:rPr>
      </w:pPr>
      <w:r>
        <w:rPr>
          <w:sz w:val="22"/>
          <w:szCs w:val="22"/>
        </w:rPr>
        <w:t>A pesar de una leve contracción presupuestal (-4.28%), que situó la asignación en $37.200 millones, la entidad mantuvo su disciplina fiscal. La ejecución de giros se sostuvo en un 97.08%, lo que confirma que, con un presupuesto cercano a los $38 mil millones, el DADEP opera con máxima eficiencia.</w:t>
      </w:r>
    </w:p>
    <w:p w:rsidR="00743DA6" w:rsidRDefault="00D95D19">
      <w:pPr>
        <w:pStyle w:val="Ttulo4"/>
        <w:keepNext w:val="0"/>
        <w:spacing w:after="40" w:line="259" w:lineRule="auto"/>
        <w:rPr>
          <w:rFonts w:ascii="Arial" w:eastAsia="Arial" w:hAnsi="Arial" w:cs="Arial"/>
          <w:sz w:val="22"/>
          <w:szCs w:val="22"/>
        </w:rPr>
      </w:pPr>
      <w:bookmarkStart w:id="23" w:name="_heading=h.m9ozdl6is5zc" w:colFirst="0" w:colLast="0"/>
      <w:bookmarkEnd w:id="23"/>
      <w:r>
        <w:rPr>
          <w:rFonts w:ascii="Arial" w:eastAsia="Arial" w:hAnsi="Arial" w:cs="Arial"/>
          <w:sz w:val="22"/>
          <w:szCs w:val="22"/>
        </w:rPr>
        <w:t>2024: Primeras Señales de Fatiga</w:t>
      </w:r>
    </w:p>
    <w:p w:rsidR="00743DA6" w:rsidRDefault="00D95D19">
      <w:pPr>
        <w:spacing w:before="240" w:after="240" w:line="259" w:lineRule="auto"/>
        <w:rPr>
          <w:sz w:val="22"/>
          <w:szCs w:val="22"/>
        </w:rPr>
      </w:pPr>
      <w:r>
        <w:rPr>
          <w:sz w:val="22"/>
          <w:szCs w:val="22"/>
        </w:rPr>
        <w:t>El presupuesto aumentó a $42.191 millones (+13.4%). Aunque la ejecución se mantuvo en rangos aceptables (90.47%), se evidencia el primer descenso leve en la capacidad de materializar los recursos. La entidad comenzó a mostrar dificultades menores para mantener el ritmo de los años anteriores ante un mayor flujo de caja.</w:t>
      </w:r>
    </w:p>
    <w:p w:rsidR="00743DA6" w:rsidRDefault="00D95D19">
      <w:pPr>
        <w:pStyle w:val="Ttulo4"/>
        <w:keepNext w:val="0"/>
        <w:spacing w:after="40" w:line="259" w:lineRule="auto"/>
        <w:rPr>
          <w:rFonts w:ascii="Arial" w:eastAsia="Arial" w:hAnsi="Arial" w:cs="Arial"/>
          <w:sz w:val="22"/>
          <w:szCs w:val="22"/>
        </w:rPr>
      </w:pPr>
      <w:bookmarkStart w:id="24" w:name="_heading=h.8gf190dy9y5n" w:colFirst="0" w:colLast="0"/>
      <w:bookmarkEnd w:id="24"/>
      <w:r>
        <w:rPr>
          <w:rFonts w:ascii="Arial" w:eastAsia="Arial" w:hAnsi="Arial" w:cs="Arial"/>
          <w:sz w:val="22"/>
          <w:szCs w:val="22"/>
        </w:rPr>
        <w:t>2025: La Crisis de Crecimiento</w:t>
      </w:r>
    </w:p>
    <w:p w:rsidR="00743DA6" w:rsidRDefault="00D95D19">
      <w:pPr>
        <w:spacing w:before="240" w:after="240" w:line="259" w:lineRule="auto"/>
        <w:rPr>
          <w:sz w:val="22"/>
          <w:szCs w:val="22"/>
        </w:rPr>
      </w:pPr>
      <w:r>
        <w:rPr>
          <w:sz w:val="22"/>
          <w:szCs w:val="22"/>
        </w:rPr>
        <w:t>En 2025, el DADEP recibió un aumento histórico de recursos, alcanzando los $53.355 millones (+26.4%). Este crecimiento agresivo expuso las limitaciones de la capacidad instalada de la entidad.</w:t>
      </w:r>
    </w:p>
    <w:p w:rsidR="00743DA6" w:rsidRDefault="00D95D19">
      <w:pPr>
        <w:spacing w:before="240" w:after="240" w:line="259" w:lineRule="auto"/>
        <w:rPr>
          <w:sz w:val="22"/>
          <w:szCs w:val="22"/>
        </w:rPr>
      </w:pPr>
      <w:r>
        <w:rPr>
          <w:sz w:val="22"/>
          <w:szCs w:val="22"/>
        </w:rPr>
        <w:t>Contratación: Se logró comprometer el 84.88%, lo cual es aceptable pero inferior a los años previos (donde superaba el 98%).</w:t>
      </w:r>
    </w:p>
    <w:p w:rsidR="00743DA6" w:rsidRDefault="00D95D19">
      <w:pPr>
        <w:spacing w:before="240" w:after="240" w:line="259" w:lineRule="auto"/>
        <w:rPr>
          <w:sz w:val="22"/>
          <w:szCs w:val="22"/>
        </w:rPr>
      </w:pPr>
      <w:r>
        <w:rPr>
          <w:sz w:val="22"/>
          <w:szCs w:val="22"/>
        </w:rPr>
        <w:t>Pagos (Giros): El indicador crítico cayó al 64.92% ($34.638 millones). Esto es revelador: a pesar de tener $11 mil millones más que en 2024, la entidad giró en términos absolutos menos dinero ($34.6MM vs $38.1MM). El aumento presupuestal no solo no se ejecutó, sino que la operación se ralentizó, generando un cuello de botella administrativo.</w:t>
      </w:r>
    </w:p>
    <w:p w:rsidR="00743DA6" w:rsidRDefault="00D95D19">
      <w:pPr>
        <w:pStyle w:val="Ttulo4"/>
        <w:keepNext w:val="0"/>
        <w:spacing w:after="40" w:line="259" w:lineRule="auto"/>
        <w:rPr>
          <w:rFonts w:ascii="Arial" w:eastAsia="Arial" w:hAnsi="Arial" w:cs="Arial"/>
          <w:sz w:val="22"/>
          <w:szCs w:val="22"/>
        </w:rPr>
      </w:pPr>
      <w:bookmarkStart w:id="25" w:name="_heading=h.9end29cfr9ae" w:colFirst="0" w:colLast="0"/>
      <w:bookmarkEnd w:id="25"/>
      <w:r>
        <w:rPr>
          <w:rFonts w:ascii="Arial" w:eastAsia="Arial" w:hAnsi="Arial" w:cs="Arial"/>
          <w:sz w:val="22"/>
          <w:szCs w:val="22"/>
        </w:rPr>
        <w:t>2026: Aumento Inercial (Proyección)</w:t>
      </w:r>
    </w:p>
    <w:p w:rsidR="00743DA6" w:rsidRDefault="00D95D19">
      <w:pPr>
        <w:spacing w:before="240" w:after="240" w:line="259" w:lineRule="auto"/>
        <w:rPr>
          <w:sz w:val="22"/>
          <w:szCs w:val="22"/>
        </w:rPr>
      </w:pPr>
      <w:r>
        <w:rPr>
          <w:sz w:val="22"/>
          <w:szCs w:val="22"/>
        </w:rPr>
        <w:t>A diferencia de otras entidades que sufren recortes por baja ejecución, el DADEP recibe un aumento adicional para 2026, situando el presupuesto en $55.155 millones (+3.37%). Esta decisión es técnicamente cuestionable: se le asignan más recursos a una entidad que en 2025 demostró no poder gastar eficientemente su asignación anterior. Esto eleva el riesgo de que los recursos queden inmovilizados en reservas presupuestales sin generar impacto real en el espacio público.</w:t>
      </w:r>
    </w:p>
    <w:p w:rsidR="00743DA6" w:rsidRDefault="00D95D19">
      <w:pPr>
        <w:pBdr>
          <w:top w:val="nil"/>
          <w:left w:val="nil"/>
          <w:bottom w:val="nil"/>
          <w:right w:val="nil"/>
          <w:between w:val="nil"/>
        </w:pBdr>
        <w:spacing w:after="160" w:line="259" w:lineRule="auto"/>
        <w:rPr>
          <w:sz w:val="22"/>
          <w:szCs w:val="22"/>
        </w:rPr>
      </w:pPr>
      <w:r>
        <w:rPr>
          <w:b/>
          <w:bCs/>
          <w:sz w:val="22"/>
          <w:szCs w:val="22"/>
        </w:rPr>
        <w:t>Tabla No. 42. Actividades que presentan recortes presupuestales para 2026</w:t>
      </w:r>
    </w:p>
    <w:sdt>
      <w:sdtPr>
        <w:rPr>
          <w:rFonts w:ascii="Arial" w:eastAsia="Arial" w:hAnsi="Arial" w:cs="Arial"/>
          <w:sz w:val="24"/>
          <w:szCs w:val="24"/>
          <w:lang w:val="es" w:eastAsia="es-CO"/>
        </w:rPr>
        <w:tag w:val="goog_rdk_840"/>
        <w:id w:val="-314162481"/>
        <w:lock w:val="contentLocked"/>
      </w:sdtPr>
      <w:sdtEndPr/>
      <w:sdtContent>
        <w:tbl>
          <w:tblPr>
            <w:tblStyle w:val="afffffff5"/>
            <w:tblW w:w="9480" w:type="dxa"/>
            <w:tblBorders>
              <w:top w:val="nil"/>
              <w:left w:val="nil"/>
              <w:bottom w:val="nil"/>
              <w:right w:val="nil"/>
              <w:insideH w:val="nil"/>
              <w:insideV w:val="nil"/>
            </w:tblBorders>
            <w:tblLayout w:type="fixed"/>
            <w:tblLook w:val="0600" w:firstRow="0" w:lastRow="0" w:firstColumn="0" w:lastColumn="0" w:noHBand="1" w:noVBand="1"/>
          </w:tblPr>
          <w:tblGrid>
            <w:gridCol w:w="2685"/>
            <w:gridCol w:w="1320"/>
            <w:gridCol w:w="1575"/>
            <w:gridCol w:w="1095"/>
            <w:gridCol w:w="1560"/>
            <w:gridCol w:w="1245"/>
          </w:tblGrid>
          <w:tr w:rsidR="00743DA6">
            <w:trPr>
              <w:trHeight w:val="525"/>
            </w:trPr>
            <w:tc>
              <w:tcPr>
                <w:tcW w:w="9480" w:type="dxa"/>
                <w:gridSpan w:val="6"/>
                <w:tcBorders>
                  <w:top w:val="single" w:sz="8" w:space="0" w:color="000000"/>
                  <w:left w:val="single" w:sz="8" w:space="0" w:color="000000"/>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jc w:val="center"/>
                  <w:rPr>
                    <w:rFonts w:ascii="Arial" w:eastAsia="Arial" w:hAnsi="Arial" w:cs="Arial"/>
                    <w:b/>
                    <w:bCs/>
                    <w:sz w:val="20"/>
                    <w:szCs w:val="20"/>
                  </w:rPr>
                </w:pPr>
                <w:r>
                  <w:rPr>
                    <w:rFonts w:ascii="Arial" w:eastAsia="Arial" w:hAnsi="Arial" w:cs="Arial"/>
                    <w:b/>
                    <w:bCs/>
                    <w:sz w:val="20"/>
                    <w:szCs w:val="20"/>
                  </w:rPr>
                  <w:t xml:space="preserve">           Actividades con reducción presupuestal DADEP 2025 - 2026</w:t>
                </w:r>
              </w:p>
            </w:tc>
          </w:tr>
          <w:tr w:rsidR="00743DA6">
            <w:trPr>
              <w:trHeight w:val="525"/>
            </w:trPr>
            <w:sdt>
              <w:sdtPr>
                <w:tag w:val="goog_rdk_762"/>
                <w:id w:val="-2024223462"/>
                <w:lock w:val="contentLocked"/>
              </w:sdtPr>
              <w:sdtEndPr/>
              <w:sdtContent>
                <w:tc>
                  <w:tcPr>
                    <w:tcW w:w="2685" w:type="dxa"/>
                    <w:tcBorders>
                      <w:top w:val="single" w:sz="8" w:space="0" w:color="000000"/>
                      <w:left w:val="single" w:sz="8" w:space="0" w:color="000000"/>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ACTIVIDAD</w:t>
                    </w:r>
                  </w:p>
                </w:tc>
              </w:sdtContent>
            </w:sdt>
            <w:sdt>
              <w:sdtPr>
                <w:tag w:val="goog_rdk_763"/>
                <w:id w:val="1823438523"/>
                <w:lock w:val="contentLocked"/>
              </w:sdtPr>
              <w:sdtEndPr/>
              <w:sdtContent>
                <w:tc>
                  <w:tcPr>
                    <w:tcW w:w="1320"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PRESUPUESTO 2025</w:t>
                    </w:r>
                  </w:p>
                </w:tc>
              </w:sdtContent>
            </w:sdt>
            <w:sdt>
              <w:sdtPr>
                <w:tag w:val="goog_rdk_764"/>
                <w:id w:val="43324373"/>
                <w:lock w:val="contentLocked"/>
              </w:sdtPr>
              <w:sdtEndPr/>
              <w:sdtContent>
                <w:tc>
                  <w:tcPr>
                    <w:tcW w:w="157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CONTRATADO 2025</w:t>
                    </w:r>
                  </w:p>
                </w:tc>
              </w:sdtContent>
            </w:sdt>
            <w:sdt>
              <w:sdtPr>
                <w:tag w:val="goog_rdk_765"/>
                <w:id w:val="-1784810486"/>
                <w:lock w:val="contentLocked"/>
              </w:sdtPr>
              <w:sdtEndPr/>
              <w:sdtContent>
                <w:tc>
                  <w:tcPr>
                    <w:tcW w:w="109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GIRADO 2025</w:t>
                    </w:r>
                  </w:p>
                </w:tc>
              </w:sdtContent>
            </w:sdt>
            <w:sdt>
              <w:sdtPr>
                <w:tag w:val="goog_rdk_766"/>
                <w:id w:val="502888026"/>
                <w:lock w:val="contentLocked"/>
              </w:sdtPr>
              <w:sdtEndPr/>
              <w:sdtContent>
                <w:tc>
                  <w:tcPr>
                    <w:tcW w:w="1560"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PRESUPUESTO 2026</w:t>
                    </w:r>
                  </w:p>
                </w:tc>
              </w:sdtContent>
            </w:sdt>
            <w:sdt>
              <w:sdtPr>
                <w:tag w:val="goog_rdk_767"/>
                <w:id w:val="-1981689881"/>
                <w:lock w:val="contentLocked"/>
              </w:sdtPr>
              <w:sdtEndPr/>
              <w:sdtContent>
                <w:tc>
                  <w:tcPr>
                    <w:tcW w:w="124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DIFERENCIA 2025 - 2026</w:t>
                    </w:r>
                  </w:p>
                </w:tc>
              </w:sdtContent>
            </w:sdt>
          </w:tr>
          <w:tr w:rsidR="00743DA6">
            <w:trPr>
              <w:trHeight w:val="2775"/>
            </w:trPr>
            <w:sdt>
              <w:sdtPr>
                <w:tag w:val="goog_rdk_768"/>
                <w:id w:val="-1999377335"/>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Intervenir 134000 Metro(s) cuadrado(s) de bienes de uso público y fiscales a cargo del DADEP con acciones de administración y mantenimiento</w:t>
                    </w:r>
                  </w:p>
                </w:tc>
              </w:sdtContent>
            </w:sdt>
            <w:sdt>
              <w:sdtPr>
                <w:tag w:val="goog_rdk_769"/>
                <w:id w:val="-2948978"/>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$ 2,615</w:t>
                    </w:r>
                  </w:p>
                </w:tc>
              </w:sdtContent>
            </w:sdt>
            <w:sdt>
              <w:sdtPr>
                <w:tag w:val="goog_rdk_770"/>
                <w:id w:val="1899483543"/>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$ 2,112</w:t>
                    </w:r>
                  </w:p>
                </w:tc>
              </w:sdtContent>
            </w:sdt>
            <w:sdt>
              <w:sdtPr>
                <w:tag w:val="goog_rdk_771"/>
                <w:id w:val="1104642513"/>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$ 1,081</w:t>
                    </w:r>
                  </w:p>
                </w:tc>
              </w:sdtContent>
            </w:sdt>
            <w:sdt>
              <w:sdtPr>
                <w:tag w:val="goog_rdk_772"/>
                <w:id w:val="152442186"/>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$ 2,473</w:t>
                    </w:r>
                  </w:p>
                </w:tc>
              </w:sdtContent>
            </w:sdt>
            <w:sdt>
              <w:sdtPr>
                <w:tag w:val="goog_rdk_773"/>
                <w:id w:val="1924381096"/>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-$ 143</w:t>
                    </w:r>
                  </w:p>
                </w:tc>
              </w:sdtContent>
            </w:sdt>
          </w:tr>
          <w:tr w:rsidR="00743DA6">
            <w:trPr>
              <w:trHeight w:val="1875"/>
            </w:trPr>
            <w:sdt>
              <w:sdtPr>
                <w:tag w:val="goog_rdk_774"/>
                <w:id w:val="-1765573262"/>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Actualizar el 100 Porciento de las herramientas de valoración de los predios que conforman el inventario</w:t>
                    </w:r>
                  </w:p>
                </w:tc>
              </w:sdtContent>
            </w:sdt>
            <w:sdt>
              <w:sdtPr>
                <w:tag w:val="goog_rdk_775"/>
                <w:id w:val="-2034153813"/>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$ 976</w:t>
                    </w:r>
                  </w:p>
                </w:tc>
              </w:sdtContent>
            </w:sdt>
            <w:sdt>
              <w:sdtPr>
                <w:tag w:val="goog_rdk_776"/>
                <w:id w:val="-1343032552"/>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$ 484</w:t>
                    </w:r>
                  </w:p>
                </w:tc>
              </w:sdtContent>
            </w:sdt>
            <w:sdt>
              <w:sdtPr>
                <w:tag w:val="goog_rdk_777"/>
                <w:id w:val="-419084950"/>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$ 0</w:t>
                    </w:r>
                  </w:p>
                </w:tc>
              </w:sdtContent>
            </w:sdt>
            <w:sdt>
              <w:sdtPr>
                <w:tag w:val="goog_rdk_778"/>
                <w:id w:val="1410664446"/>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$ 470</w:t>
                    </w:r>
                  </w:p>
                </w:tc>
              </w:sdtContent>
            </w:sdt>
            <w:sdt>
              <w:sdtPr>
                <w:tag w:val="goog_rdk_779"/>
                <w:id w:val="-518232940"/>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-$ 506</w:t>
                    </w:r>
                  </w:p>
                </w:tc>
              </w:sdtContent>
            </w:sdt>
          </w:tr>
          <w:tr w:rsidR="00743DA6">
            <w:trPr>
              <w:trHeight w:val="2100"/>
            </w:trPr>
            <w:sdt>
              <w:sdtPr>
                <w:tag w:val="goog_rdk_780"/>
                <w:id w:val="1550658179"/>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Impulsar 15 Proyecto(s) de bienestar con enfoque de género, poblacional y diferencial en espacios públicos.</w:t>
                    </w:r>
                  </w:p>
                </w:tc>
              </w:sdtContent>
            </w:sdt>
            <w:sdt>
              <w:sdtPr>
                <w:tag w:val="goog_rdk_781"/>
                <w:id w:val="260331765"/>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$ 1,176</w:t>
                    </w:r>
                  </w:p>
                </w:tc>
              </w:sdtContent>
            </w:sdt>
            <w:sdt>
              <w:sdtPr>
                <w:tag w:val="goog_rdk_782"/>
                <w:id w:val="-398442092"/>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$ 1,165</w:t>
                    </w:r>
                  </w:p>
                </w:tc>
              </w:sdtContent>
            </w:sdt>
            <w:sdt>
              <w:sdtPr>
                <w:tag w:val="goog_rdk_783"/>
                <w:id w:val="1580172999"/>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$ 312</w:t>
                    </w:r>
                  </w:p>
                </w:tc>
              </w:sdtContent>
            </w:sdt>
            <w:sdt>
              <w:sdtPr>
                <w:tag w:val="goog_rdk_784"/>
                <w:id w:val="-1048077883"/>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$ 825</w:t>
                    </w:r>
                  </w:p>
                </w:tc>
              </w:sdtContent>
            </w:sdt>
            <w:sdt>
              <w:sdtPr>
                <w:tag w:val="goog_rdk_785"/>
                <w:id w:val="-523700718"/>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-$ 351</w:t>
                    </w:r>
                  </w:p>
                </w:tc>
              </w:sdtContent>
            </w:sdt>
          </w:tr>
          <w:tr w:rsidR="00743DA6">
            <w:trPr>
              <w:trHeight w:val="2325"/>
            </w:trPr>
            <w:sdt>
              <w:sdtPr>
                <w:tag w:val="goog_rdk_786"/>
                <w:id w:val="500064589"/>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Realizar 10 Estudio(s) para la identificación de puntos críticos donde se pueda impulsar proyectos de bienestar social.</w:t>
                    </w:r>
                  </w:p>
                </w:tc>
              </w:sdtContent>
            </w:sdt>
            <w:sdt>
              <w:sdtPr>
                <w:tag w:val="goog_rdk_787"/>
                <w:id w:val="1474028087"/>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$ 371</w:t>
                    </w:r>
                  </w:p>
                </w:tc>
              </w:sdtContent>
            </w:sdt>
            <w:sdt>
              <w:sdtPr>
                <w:tag w:val="goog_rdk_788"/>
                <w:id w:val="-158391417"/>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$ 208</w:t>
                    </w:r>
                  </w:p>
                </w:tc>
              </w:sdtContent>
            </w:sdt>
            <w:sdt>
              <w:sdtPr>
                <w:tag w:val="goog_rdk_789"/>
                <w:id w:val="-1854702885"/>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$ 87</w:t>
                    </w:r>
                  </w:p>
                </w:tc>
              </w:sdtContent>
            </w:sdt>
            <w:sdt>
              <w:sdtPr>
                <w:tag w:val="goog_rdk_790"/>
                <w:id w:val="-1882590006"/>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$ 181</w:t>
                    </w:r>
                  </w:p>
                </w:tc>
              </w:sdtContent>
            </w:sdt>
            <w:sdt>
              <w:sdtPr>
                <w:tag w:val="goog_rdk_791"/>
                <w:id w:val="771533827"/>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-$ 190</w:t>
                    </w:r>
                  </w:p>
                </w:tc>
              </w:sdtContent>
            </w:sdt>
          </w:tr>
          <w:tr w:rsidR="00743DA6">
            <w:trPr>
              <w:trHeight w:val="3450"/>
            </w:trPr>
            <w:sdt>
              <w:sdtPr>
                <w:tag w:val="goog_rdk_792"/>
                <w:id w:val="-1444722298"/>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Realizar 20 Ejercicio(s) demostrativos de apropiación de predios públicos por medio de procesos formativos y acciones concretas en sitios críticos impulsando la participación ciudadana</w:t>
                    </w:r>
                  </w:p>
                </w:tc>
              </w:sdtContent>
            </w:sdt>
            <w:sdt>
              <w:sdtPr>
                <w:tag w:val="goog_rdk_793"/>
                <w:id w:val="880606790"/>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$ 1,477</w:t>
                    </w:r>
                  </w:p>
                </w:tc>
              </w:sdtContent>
            </w:sdt>
            <w:sdt>
              <w:sdtPr>
                <w:tag w:val="goog_rdk_794"/>
                <w:id w:val="-2006539244"/>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$ 1,345</w:t>
                    </w:r>
                  </w:p>
                </w:tc>
              </w:sdtContent>
            </w:sdt>
            <w:sdt>
              <w:sdtPr>
                <w:tag w:val="goog_rdk_795"/>
                <w:id w:val="382657146"/>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$ 612</w:t>
                    </w:r>
                  </w:p>
                </w:tc>
              </w:sdtContent>
            </w:sdt>
            <w:sdt>
              <w:sdtPr>
                <w:tag w:val="goog_rdk_796"/>
                <w:id w:val="424122055"/>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$ 798</w:t>
                    </w:r>
                  </w:p>
                </w:tc>
              </w:sdtContent>
            </w:sdt>
            <w:sdt>
              <w:sdtPr>
                <w:tag w:val="goog_rdk_797"/>
                <w:id w:val="-1329266353"/>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-$ 679</w:t>
                    </w:r>
                  </w:p>
                </w:tc>
              </w:sdtContent>
            </w:sdt>
          </w:tr>
          <w:tr w:rsidR="00743DA6">
            <w:trPr>
              <w:trHeight w:val="1920"/>
            </w:trPr>
            <w:sdt>
              <w:sdtPr>
                <w:tag w:val="goog_rdk_798"/>
                <w:id w:val="-2098281443"/>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5 - Desarrollar 6 Línea(s) de investigación que fomenten la apropiación ciudadana del espacio público y mejoren las condiciones de generación, sostenibilidad y cuidado de este</w:t>
                    </w:r>
                  </w:p>
                </w:tc>
              </w:sdtContent>
            </w:sdt>
            <w:sdt>
              <w:sdtPr>
                <w:tag w:val="goog_rdk_799"/>
                <w:id w:val="-1592041510"/>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$ 863</w:t>
                    </w:r>
                  </w:p>
                </w:tc>
              </w:sdtContent>
            </w:sdt>
            <w:sdt>
              <w:sdtPr>
                <w:tag w:val="goog_rdk_800"/>
                <w:id w:val="-1979196783"/>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$ 773</w:t>
                    </w:r>
                  </w:p>
                </w:tc>
              </w:sdtContent>
            </w:sdt>
            <w:sdt>
              <w:sdtPr>
                <w:tag w:val="goog_rdk_801"/>
                <w:id w:val="1647733508"/>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$ 400</w:t>
                    </w:r>
                  </w:p>
                </w:tc>
              </w:sdtContent>
            </w:sdt>
            <w:sdt>
              <w:sdtPr>
                <w:tag w:val="goog_rdk_802"/>
                <w:id w:val="635484326"/>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$ 511</w:t>
                    </w:r>
                  </w:p>
                </w:tc>
              </w:sdtContent>
            </w:sdt>
            <w:sdt>
              <w:sdtPr>
                <w:tag w:val="goog_rdk_803"/>
                <w:id w:val="1612530611"/>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-$ 352</w:t>
                    </w:r>
                  </w:p>
                </w:tc>
              </w:sdtContent>
            </w:sdt>
          </w:tr>
          <w:tr w:rsidR="00743DA6">
            <w:trPr>
              <w:trHeight w:val="2085"/>
            </w:trPr>
            <w:sdt>
              <w:sdtPr>
                <w:tag w:val="goog_rdk_804"/>
                <w:id w:val="981021233"/>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Gestionar el 100 Porciento del plan de sostenibilidad de MIPG en el marco de la normatividad legal vigente y los lineamientos expedidos por la Administración Distrital.</w:t>
                    </w:r>
                  </w:p>
                </w:tc>
              </w:sdtContent>
            </w:sdt>
            <w:sdt>
              <w:sdtPr>
                <w:tag w:val="goog_rdk_805"/>
                <w:id w:val="572381304"/>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$ 1,324</w:t>
                    </w:r>
                  </w:p>
                </w:tc>
              </w:sdtContent>
            </w:sdt>
            <w:sdt>
              <w:sdtPr>
                <w:tag w:val="goog_rdk_806"/>
                <w:id w:val="2103846824"/>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$ 1,242</w:t>
                    </w:r>
                  </w:p>
                </w:tc>
              </w:sdtContent>
            </w:sdt>
            <w:sdt>
              <w:sdtPr>
                <w:tag w:val="goog_rdk_807"/>
                <w:id w:val="2120132604"/>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$ 636</w:t>
                    </w:r>
                  </w:p>
                </w:tc>
              </w:sdtContent>
            </w:sdt>
            <w:sdt>
              <w:sdtPr>
                <w:tag w:val="goog_rdk_808"/>
                <w:id w:val="-1381899148"/>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$ 1,105</w:t>
                    </w:r>
                  </w:p>
                </w:tc>
              </w:sdtContent>
            </w:sdt>
            <w:sdt>
              <w:sdtPr>
                <w:tag w:val="goog_rdk_809"/>
                <w:id w:val="-846513613"/>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-$ 219</w:t>
                    </w:r>
                  </w:p>
                </w:tc>
              </w:sdtContent>
            </w:sdt>
          </w:tr>
          <w:tr w:rsidR="00743DA6">
            <w:trPr>
              <w:trHeight w:val="3675"/>
            </w:trPr>
            <w:sdt>
              <w:sdtPr>
                <w:tag w:val="goog_rdk_810"/>
                <w:id w:val="1502542507"/>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Adelantar el 100 Porciento de las actividades programadas en el plan anual de auditoría, relacionadas con el Sistema de Control Interno y en articulación con la séptima dimensión del modelo MIPG</w:t>
                    </w:r>
                  </w:p>
                </w:tc>
              </w:sdtContent>
            </w:sdt>
            <w:sdt>
              <w:sdtPr>
                <w:tag w:val="goog_rdk_811"/>
                <w:id w:val="-1576687521"/>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$ 375</w:t>
                    </w:r>
                  </w:p>
                </w:tc>
              </w:sdtContent>
            </w:sdt>
            <w:sdt>
              <w:sdtPr>
                <w:tag w:val="goog_rdk_812"/>
                <w:id w:val="-1055782123"/>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$ 372</w:t>
                    </w:r>
                  </w:p>
                </w:tc>
              </w:sdtContent>
            </w:sdt>
            <w:sdt>
              <w:sdtPr>
                <w:tag w:val="goog_rdk_813"/>
                <w:id w:val="-1579629478"/>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$ 232</w:t>
                    </w:r>
                  </w:p>
                </w:tc>
              </w:sdtContent>
            </w:sdt>
            <w:sdt>
              <w:sdtPr>
                <w:tag w:val="goog_rdk_814"/>
                <w:id w:val="-151375190"/>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$ 362</w:t>
                    </w:r>
                  </w:p>
                </w:tc>
              </w:sdtContent>
            </w:sdt>
            <w:sdt>
              <w:sdtPr>
                <w:tag w:val="goog_rdk_815"/>
                <w:id w:val="-1572095994"/>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-$ 13</w:t>
                    </w:r>
                  </w:p>
                </w:tc>
              </w:sdtContent>
            </w:sdt>
          </w:tr>
          <w:tr w:rsidR="00743DA6">
            <w:trPr>
              <w:trHeight w:val="3900"/>
            </w:trPr>
            <w:sdt>
              <w:sdtPr>
                <w:tag w:val="goog_rdk_816"/>
                <w:id w:val="876023345"/>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Cumplir con el 100 Porciento de las actividades de apoyo administrativo, financiero, ambiental, documental, archivo y de control disciplinario requeridas para el fortalecimiento de la gestión institucional</w:t>
                    </w:r>
                  </w:p>
                </w:tc>
              </w:sdtContent>
            </w:sdt>
            <w:sdt>
              <w:sdtPr>
                <w:tag w:val="goog_rdk_817"/>
                <w:id w:val="-256824472"/>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$ 2,897</w:t>
                    </w:r>
                  </w:p>
                </w:tc>
              </w:sdtContent>
            </w:sdt>
            <w:sdt>
              <w:sdtPr>
                <w:tag w:val="goog_rdk_818"/>
                <w:id w:val="-2083092142"/>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$ 2,215</w:t>
                    </w:r>
                  </w:p>
                </w:tc>
              </w:sdtContent>
            </w:sdt>
            <w:sdt>
              <w:sdtPr>
                <w:tag w:val="goog_rdk_819"/>
                <w:id w:val="186206400"/>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$ 1,320</w:t>
                    </w:r>
                  </w:p>
                </w:tc>
              </w:sdtContent>
            </w:sdt>
            <w:sdt>
              <w:sdtPr>
                <w:tag w:val="goog_rdk_820"/>
                <w:id w:val="666103249"/>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$ 2,885</w:t>
                    </w:r>
                  </w:p>
                </w:tc>
              </w:sdtContent>
            </w:sdt>
            <w:sdt>
              <w:sdtPr>
                <w:tag w:val="goog_rdk_821"/>
                <w:id w:val="-1104202898"/>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-$ 12</w:t>
                    </w:r>
                  </w:p>
                </w:tc>
              </w:sdtContent>
            </w:sdt>
          </w:tr>
          <w:tr w:rsidR="00743DA6">
            <w:trPr>
              <w:trHeight w:val="1920"/>
            </w:trPr>
            <w:sdt>
              <w:sdtPr>
                <w:tag w:val="goog_rdk_822"/>
                <w:id w:val="-1503337403"/>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Gestionar el 100 Porciento de los procesos de defensa y representación judicial en primera y segunda instancia y de gestión contractual de la entidad</w:t>
                    </w:r>
                  </w:p>
                </w:tc>
              </w:sdtContent>
            </w:sdt>
            <w:sdt>
              <w:sdtPr>
                <w:tag w:val="goog_rdk_823"/>
                <w:id w:val="1358938418"/>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$ 2,406</w:t>
                    </w:r>
                  </w:p>
                </w:tc>
              </w:sdtContent>
            </w:sdt>
            <w:sdt>
              <w:sdtPr>
                <w:tag w:val="goog_rdk_824"/>
                <w:id w:val="-1568121414"/>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$ 2,325</w:t>
                    </w:r>
                  </w:p>
                </w:tc>
              </w:sdtContent>
            </w:sdt>
            <w:sdt>
              <w:sdtPr>
                <w:tag w:val="goog_rdk_825"/>
                <w:id w:val="-722432260"/>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$ 1,530</w:t>
                    </w:r>
                  </w:p>
                </w:tc>
              </w:sdtContent>
            </w:sdt>
            <w:sdt>
              <w:sdtPr>
                <w:tag w:val="goog_rdk_826"/>
                <w:id w:val="-446261420"/>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$ 2,236</w:t>
                    </w:r>
                  </w:p>
                </w:tc>
              </w:sdtContent>
            </w:sdt>
            <w:sdt>
              <w:sdtPr>
                <w:tag w:val="goog_rdk_827"/>
                <w:id w:val="-452214091"/>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-$ 170</w:t>
                    </w:r>
                  </w:p>
                </w:tc>
              </w:sdtContent>
            </w:sdt>
          </w:tr>
          <w:tr w:rsidR="00743DA6">
            <w:trPr>
              <w:trHeight w:val="2475"/>
            </w:trPr>
            <w:sdt>
              <w:sdtPr>
                <w:tag w:val="goog_rdk_828"/>
                <w:id w:val="1511042680"/>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Desarrollar 100 Porciento de los procesos, políticas y guías de gobernabilidad de las TIC, fundamentados en buenas prácticas que permitan el fortalecimiento de la capacidad institucional en lo que a la prestación de los servicios misionales que se soportan en las TICs</w:t>
                    </w:r>
                  </w:p>
                </w:tc>
              </w:sdtContent>
            </w:sdt>
            <w:sdt>
              <w:sdtPr>
                <w:tag w:val="goog_rdk_829"/>
                <w:id w:val="-1120531295"/>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$ 279</w:t>
                    </w:r>
                  </w:p>
                </w:tc>
              </w:sdtContent>
            </w:sdt>
            <w:sdt>
              <w:sdtPr>
                <w:tag w:val="goog_rdk_830"/>
                <w:id w:val="-1239320926"/>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$ 265</w:t>
                    </w:r>
                  </w:p>
                </w:tc>
              </w:sdtContent>
            </w:sdt>
            <w:sdt>
              <w:sdtPr>
                <w:tag w:val="goog_rdk_831"/>
                <w:id w:val="220840155"/>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$ 164</w:t>
                    </w:r>
                  </w:p>
                </w:tc>
              </w:sdtContent>
            </w:sdt>
            <w:sdt>
              <w:sdtPr>
                <w:tag w:val="goog_rdk_832"/>
                <w:id w:val="-785872826"/>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$ 254</w:t>
                    </w:r>
                  </w:p>
                </w:tc>
              </w:sdtContent>
            </w:sdt>
            <w:sdt>
              <w:sdtPr>
                <w:tag w:val="goog_rdk_833"/>
                <w:id w:val="-848619838"/>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-$ 25</w:t>
                    </w:r>
                  </w:p>
                </w:tc>
              </w:sdtContent>
            </w:sdt>
          </w:tr>
          <w:tr w:rsidR="00743DA6">
            <w:trPr>
              <w:trHeight w:val="2175"/>
            </w:trPr>
            <w:sdt>
              <w:sdtPr>
                <w:tag w:val="goog_rdk_834"/>
                <w:id w:val="-18630176"/>
                <w:lock w:val="contentLocked"/>
              </w:sdtPr>
              <w:sdtEndPr/>
              <w:sdtContent>
                <w:tc>
                  <w:tcPr>
                    <w:tcW w:w="268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Garantizar 98 Porciento de la disponibilidad en la prestación de los servicios críticos de la entidad que apalancan la prestación de la oferta institucional de la Defensoría del Espacio Público</w:t>
                    </w:r>
                  </w:p>
                </w:tc>
              </w:sdtContent>
            </w:sdt>
            <w:sdt>
              <w:sdtPr>
                <w:tag w:val="goog_rdk_835"/>
                <w:id w:val="-2095650779"/>
                <w:lock w:val="contentLocked"/>
              </w:sdtPr>
              <w:sdtEndPr/>
              <w:sdtContent>
                <w:tc>
                  <w:tcPr>
                    <w:tcW w:w="132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$ 3,307</w:t>
                    </w:r>
                  </w:p>
                </w:tc>
              </w:sdtContent>
            </w:sdt>
            <w:sdt>
              <w:sdtPr>
                <w:tag w:val="goog_rdk_836"/>
                <w:id w:val="1643804430"/>
                <w:lock w:val="contentLocked"/>
              </w:sdtPr>
              <w:sdtEndPr/>
              <w:sdtContent>
                <w:tc>
                  <w:tcPr>
                    <w:tcW w:w="157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$ 2,574</w:t>
                    </w:r>
                  </w:p>
                </w:tc>
              </w:sdtContent>
            </w:sdt>
            <w:sdt>
              <w:sdtPr>
                <w:tag w:val="goog_rdk_837"/>
                <w:id w:val="1001291980"/>
                <w:lock w:val="contentLocked"/>
              </w:sdtPr>
              <w:sdtEndPr/>
              <w:sdtContent>
                <w:tc>
                  <w:tcPr>
                    <w:tcW w:w="10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$ 2,430</w:t>
                    </w:r>
                  </w:p>
                </w:tc>
              </w:sdtContent>
            </w:sdt>
            <w:sdt>
              <w:sdtPr>
                <w:tag w:val="goog_rdk_838"/>
                <w:id w:val="271691450"/>
                <w:lock w:val="contentLocked"/>
              </w:sdtPr>
              <w:sdtEndPr/>
              <w:sdtContent>
                <w:tc>
                  <w:tcPr>
                    <w:tcW w:w="156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$ 2,722</w:t>
                    </w:r>
                  </w:p>
                </w:tc>
              </w:sdtContent>
            </w:sdt>
            <w:sdt>
              <w:sdtPr>
                <w:tag w:val="goog_rdk_839"/>
                <w:id w:val="1628984090"/>
                <w:lock w:val="contentLocked"/>
              </w:sdtPr>
              <w:sdtEndPr/>
              <w:sdtContent>
                <w:tc>
                  <w:tcPr>
                    <w:tcW w:w="124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-$ 585</w:t>
                    </w:r>
                  </w:p>
                </w:tc>
              </w:sdtContent>
            </w:sdt>
          </w:tr>
        </w:tbl>
      </w:sdtContent>
    </w:sdt>
    <w:p w:rsidR="00743DA6" w:rsidRDefault="00D95D19">
      <w:pPr>
        <w:spacing w:line="276" w:lineRule="auto"/>
        <w:jc w:val="both"/>
      </w:pPr>
      <w:r>
        <w:rPr>
          <w:b/>
          <w:bCs/>
          <w:sz w:val="16"/>
          <w:szCs w:val="16"/>
        </w:rPr>
        <w:t>Fuente:</w:t>
      </w:r>
      <w:r>
        <w:rPr>
          <w:sz w:val="16"/>
          <w:szCs w:val="16"/>
        </w:rPr>
        <w:t xml:space="preserve"> Elaboración propia (2025) con base en la información suministrada de la SDH (2025).</w:t>
      </w:r>
    </w:p>
    <w:p w:rsidR="00743DA6" w:rsidRDefault="00743DA6">
      <w:pPr>
        <w:pBdr>
          <w:top w:val="nil"/>
          <w:left w:val="nil"/>
          <w:bottom w:val="nil"/>
          <w:right w:val="nil"/>
          <w:between w:val="nil"/>
        </w:pBdr>
        <w:spacing w:after="160" w:line="259" w:lineRule="auto"/>
      </w:pPr>
    </w:p>
    <w:p w:rsidR="00743DA6" w:rsidRDefault="00D95D19">
      <w:pPr>
        <w:spacing w:before="240" w:after="240"/>
        <w:jc w:val="both"/>
        <w:rPr>
          <w:sz w:val="22"/>
          <w:szCs w:val="22"/>
        </w:rPr>
      </w:pPr>
      <w:r>
        <w:rPr>
          <w:sz w:val="22"/>
          <w:szCs w:val="22"/>
        </w:rPr>
        <w:t>El conjunto de actividades del DADEP que presenta reducciones presupuestales en 2026 evidencia un ajuste selectivo orientado principalmente hacia aquellas líneas que durante 2025 mostraron rezagos significativos en su capacidad de ejecución, especialmente en términos de giros. El patrón es claro: allí donde la brecha entre lo programado, lo comprometido y lo efectivamente girado fue amplia, la Administración redujo la asignación para el año siguiente. Este comportamiento es consistente con un enfoque de eficiencia del gasto, pues varios de estos proyectos no lograron transformar apropiaciones en resultados operativos concretos, lo que sugiere problemas estructurales en fases precontractuales, procesos de estructuración técnica o capacidad operativa para sostener el ritmo de los proyectos misionales. Sin embargo, estos ajustes no están exentos de riesgos, pues buena parte de las actividades afectadas son esenciales para la intervención del espacio público, la valoración predial o la apropiación ciudadana, funciones que dependen directamente de la continuidad presupuestal.</w:t>
      </w:r>
    </w:p>
    <w:p w:rsidR="00743DA6" w:rsidRDefault="00D95D19">
      <w:pPr>
        <w:spacing w:before="240" w:after="240"/>
        <w:jc w:val="both"/>
        <w:rPr>
          <w:sz w:val="22"/>
          <w:szCs w:val="22"/>
        </w:rPr>
      </w:pPr>
      <w:r>
        <w:rPr>
          <w:sz w:val="22"/>
          <w:szCs w:val="22"/>
        </w:rPr>
        <w:t xml:space="preserve">En términos específicos, las actividades de administración y mantenimiento de bienes de uso público presentan un recorte leve (–$143), coherente con el hecho de que en 2025 solo se giró el 41 % de lo programado. El recorte es prudente y responde a una capacidad real inferior a la proyectada. En contraste, la actividad de actualización de herramientas de valoración de predios recibe un ajuste sustantivo (–$506), absolutamente justificable dado que en 2025 no ejecutó giros, lo que refleja una parálisis operativa. Lo mismo ocurre con los ejercicios de apropiación ciudadana (–$679), que evidencian una ejecución muy baja frente a lo programado, con solo $612 girados de $1.477, lo que implica que la mitad del proyecto nunca alcanzó la fase contractual. </w:t>
      </w:r>
    </w:p>
    <w:p w:rsidR="00743DA6" w:rsidRDefault="00D95D19">
      <w:pPr>
        <w:spacing w:before="240" w:after="240"/>
        <w:jc w:val="both"/>
        <w:rPr>
          <w:sz w:val="22"/>
          <w:szCs w:val="22"/>
        </w:rPr>
      </w:pPr>
      <w:r>
        <w:rPr>
          <w:sz w:val="22"/>
          <w:szCs w:val="22"/>
        </w:rPr>
        <w:t>Adicionalmente, actividades estratégicas como el impulso de proyectos de bienestar en espacios públicos (–$351), el desarrollo de líneas de investigación para sostenibilidad del espacio público (–$352) o los estudios para identificar puntos críticos (–$190) muestran recortes alineados con niveles de ejecución muy limitados en 2025. También se ajustan funciones administrativas esenciales como el plan de sostenibilidad de MIPG (–$219) o los procesos disciplinarios y de apoyo a la gestión institucional (–$12), cuyos recortes son moderados y buscan mantener la operación básica sin sobreprogramación. Finalmente, la reducción en disponibilidad de servicios críticos de TIC (–$585) apunta a un descalce entre la capacidad instalada y las metas iniciales, ya que si bien los giros fueron altos, la entidad no logró comprometer la totalidad del presupuesto asignado.</w:t>
      </w:r>
    </w:p>
    <w:p w:rsidR="00743DA6" w:rsidRDefault="00743DA6">
      <w:pPr>
        <w:rPr>
          <w:b/>
          <w:bCs/>
          <w:sz w:val="22"/>
          <w:szCs w:val="22"/>
        </w:rPr>
      </w:pPr>
    </w:p>
    <w:p w:rsidR="00743DA6" w:rsidRDefault="00D95D19">
      <w:pPr>
        <w:rPr>
          <w:b/>
          <w:bCs/>
          <w:sz w:val="22"/>
          <w:szCs w:val="22"/>
        </w:rPr>
      </w:pPr>
      <w:r>
        <w:rPr>
          <w:b/>
          <w:bCs/>
          <w:sz w:val="22"/>
          <w:szCs w:val="22"/>
        </w:rPr>
        <w:t>Tabla No. 43. Actividades que generan aumentos presupuestales para 2026</w:t>
      </w:r>
    </w:p>
    <w:p w:rsidR="00743DA6" w:rsidRDefault="00743DA6">
      <w:pPr>
        <w:rPr>
          <w:b/>
          <w:bCs/>
        </w:rPr>
      </w:pPr>
    </w:p>
    <w:p w:rsidR="00743DA6" w:rsidRDefault="00743DA6">
      <w:pPr>
        <w:rPr>
          <w:b/>
          <w:bCs/>
        </w:rPr>
      </w:pPr>
    </w:p>
    <w:sdt>
      <w:sdtPr>
        <w:rPr>
          <w:rFonts w:ascii="Arial" w:eastAsia="Arial" w:hAnsi="Arial" w:cs="Arial"/>
          <w:sz w:val="24"/>
          <w:szCs w:val="24"/>
          <w:lang w:val="es" w:eastAsia="es-CO"/>
        </w:rPr>
        <w:tag w:val="goog_rdk_895"/>
        <w:id w:val="-470441120"/>
        <w:lock w:val="contentLocked"/>
      </w:sdtPr>
      <w:sdtEndPr/>
      <w:sdtContent>
        <w:tbl>
          <w:tblPr>
            <w:tblStyle w:val="afffffff6"/>
            <w:tblW w:w="9255" w:type="dxa"/>
            <w:tblBorders>
              <w:top w:val="nil"/>
              <w:left w:val="nil"/>
              <w:bottom w:val="nil"/>
              <w:right w:val="nil"/>
              <w:insideH w:val="nil"/>
              <w:insideV w:val="nil"/>
            </w:tblBorders>
            <w:tblLayout w:type="fixed"/>
            <w:tblLook w:val="0600" w:firstRow="0" w:lastRow="0" w:firstColumn="0" w:lastColumn="0" w:noHBand="1" w:noVBand="1"/>
          </w:tblPr>
          <w:tblGrid>
            <w:gridCol w:w="1500"/>
            <w:gridCol w:w="2190"/>
            <w:gridCol w:w="1410"/>
            <w:gridCol w:w="1395"/>
            <w:gridCol w:w="1410"/>
            <w:gridCol w:w="1350"/>
          </w:tblGrid>
          <w:tr w:rsidR="00743DA6">
            <w:trPr>
              <w:trHeight w:val="525"/>
            </w:trPr>
            <w:tc>
              <w:tcPr>
                <w:tcW w:w="9255" w:type="dxa"/>
                <w:gridSpan w:val="6"/>
                <w:tcBorders>
                  <w:top w:val="single" w:sz="8" w:space="0" w:color="000000"/>
                  <w:left w:val="single" w:sz="8" w:space="0" w:color="000000"/>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jc w:val="center"/>
                  <w:rPr>
                    <w:rFonts w:ascii="Arial" w:eastAsia="Arial" w:hAnsi="Arial" w:cs="Arial"/>
                    <w:b/>
                    <w:bCs/>
                    <w:sz w:val="20"/>
                    <w:szCs w:val="20"/>
                  </w:rPr>
                </w:pPr>
                <w:r>
                  <w:rPr>
                    <w:rFonts w:ascii="Arial" w:eastAsia="Arial" w:hAnsi="Arial" w:cs="Arial"/>
                    <w:b/>
                    <w:bCs/>
                    <w:sz w:val="20"/>
                    <w:szCs w:val="20"/>
                  </w:rPr>
                  <w:t xml:space="preserve">           Actividades con aumento presupuestal DADEP 2025 - 2026</w:t>
                </w:r>
              </w:p>
            </w:tc>
          </w:tr>
          <w:tr w:rsidR="00743DA6">
            <w:trPr>
              <w:trHeight w:val="525"/>
            </w:trPr>
            <w:sdt>
              <w:sdtPr>
                <w:tag w:val="goog_rdk_841"/>
                <w:id w:val="-1321818581"/>
                <w:lock w:val="contentLocked"/>
              </w:sdtPr>
              <w:sdtEndPr/>
              <w:sdtContent>
                <w:tc>
                  <w:tcPr>
                    <w:tcW w:w="1500" w:type="dxa"/>
                    <w:tcBorders>
                      <w:top w:val="single" w:sz="8" w:space="0" w:color="000000"/>
                      <w:left w:val="single" w:sz="8" w:space="0" w:color="000000"/>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ACTIVIDAD</w:t>
                    </w:r>
                  </w:p>
                </w:tc>
              </w:sdtContent>
            </w:sdt>
            <w:sdt>
              <w:sdtPr>
                <w:tag w:val="goog_rdk_842"/>
                <w:id w:val="1913076283"/>
                <w:lock w:val="contentLocked"/>
              </w:sdtPr>
              <w:sdtEndPr/>
              <w:sdtContent>
                <w:tc>
                  <w:tcPr>
                    <w:tcW w:w="2190"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PRESUPUESTO 2025</w:t>
                    </w:r>
                  </w:p>
                </w:tc>
              </w:sdtContent>
            </w:sdt>
            <w:sdt>
              <w:sdtPr>
                <w:tag w:val="goog_rdk_843"/>
                <w:id w:val="-789409387"/>
                <w:lock w:val="contentLocked"/>
              </w:sdtPr>
              <w:sdtEndPr/>
              <w:sdtContent>
                <w:tc>
                  <w:tcPr>
                    <w:tcW w:w="1410"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CONTRATADO 2025</w:t>
                    </w:r>
                  </w:p>
                </w:tc>
              </w:sdtContent>
            </w:sdt>
            <w:sdt>
              <w:sdtPr>
                <w:tag w:val="goog_rdk_844"/>
                <w:id w:val="-1188554039"/>
                <w:lock w:val="contentLocked"/>
              </w:sdtPr>
              <w:sdtEndPr/>
              <w:sdtContent>
                <w:tc>
                  <w:tcPr>
                    <w:tcW w:w="1395"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GIRADO 2025</w:t>
                    </w:r>
                  </w:p>
                </w:tc>
              </w:sdtContent>
            </w:sdt>
            <w:sdt>
              <w:sdtPr>
                <w:tag w:val="goog_rdk_845"/>
                <w:id w:val="1638586698"/>
                <w:lock w:val="contentLocked"/>
              </w:sdtPr>
              <w:sdtEndPr/>
              <w:sdtContent>
                <w:tc>
                  <w:tcPr>
                    <w:tcW w:w="1410"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PRESUPUESTO 2026</w:t>
                    </w:r>
                  </w:p>
                </w:tc>
              </w:sdtContent>
            </w:sdt>
            <w:sdt>
              <w:sdtPr>
                <w:tag w:val="goog_rdk_846"/>
                <w:id w:val="1708600512"/>
                <w:lock w:val="contentLocked"/>
              </w:sdtPr>
              <w:sdtEndPr/>
              <w:sdtContent>
                <w:tc>
                  <w:tcPr>
                    <w:tcW w:w="1350" w:type="dxa"/>
                    <w:tcBorders>
                      <w:top w:val="single" w:sz="8" w:space="0" w:color="000000"/>
                      <w:left w:val="single" w:sz="8" w:space="0" w:color="CCCCCC"/>
                      <w:bottom w:val="single" w:sz="8" w:space="0" w:color="9CC2E5"/>
                      <w:right w:val="single" w:sz="8" w:space="0" w:color="000000"/>
                    </w:tcBorders>
                    <w:shd w:val="clear" w:color="auto" w:fill="D9D9D9"/>
                    <w:tcMar>
                      <w:top w:w="40" w:type="dxa"/>
                      <w:left w:w="40" w:type="dxa"/>
                      <w:bottom w:w="40" w:type="dxa"/>
                      <w:right w:w="40" w:type="dxa"/>
                    </w:tcMar>
                    <w:vAlign w:val="bottom"/>
                  </w:tcPr>
                  <w:p w:rsidR="00743DA6" w:rsidRDefault="00D95D19">
                    <w:pPr>
                      <w:spacing w:line="276" w:lineRule="auto"/>
                      <w:rPr>
                        <w:rFonts w:ascii="Arial" w:eastAsia="Arial" w:hAnsi="Arial" w:cs="Arial"/>
                        <w:b/>
                        <w:bCs/>
                        <w:sz w:val="18"/>
                        <w:szCs w:val="18"/>
                      </w:rPr>
                    </w:pPr>
                    <w:r>
                      <w:rPr>
                        <w:rFonts w:ascii="Arial" w:eastAsia="Arial" w:hAnsi="Arial" w:cs="Arial"/>
                        <w:b/>
                        <w:bCs/>
                        <w:sz w:val="18"/>
                        <w:szCs w:val="18"/>
                      </w:rPr>
                      <w:t>DIFERENCIA 2025 - 2026</w:t>
                    </w:r>
                  </w:p>
                </w:tc>
              </w:sdtContent>
            </w:sdt>
          </w:tr>
          <w:tr w:rsidR="00743DA6">
            <w:trPr>
              <w:trHeight w:val="1395"/>
            </w:trPr>
            <w:sdt>
              <w:sdtPr>
                <w:tag w:val="goog_rdk_847"/>
                <w:id w:val="1188790259"/>
                <w:lock w:val="contentLocked"/>
              </w:sdtPr>
              <w:sdtEndPr/>
              <w:sdtContent>
                <w:tc>
                  <w:tcPr>
                    <w:tcW w:w="150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Realizar el 100 Porciento de asistencia técnica a las alcaldías locales y demás autoridades competentes en las acciones de recuperación de espacio público</w:t>
                    </w:r>
                  </w:p>
                </w:tc>
              </w:sdtContent>
            </w:sdt>
            <w:sdt>
              <w:sdtPr>
                <w:tag w:val="goog_rdk_848"/>
                <w:id w:val="-2136305419"/>
                <w:lock w:val="contentLocked"/>
              </w:sdtPr>
              <w:sdtEndPr/>
              <w:sdtContent>
                <w:tc>
                  <w:tcPr>
                    <w:tcW w:w="219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$ 8,826</w:t>
                    </w:r>
                  </w:p>
                </w:tc>
              </w:sdtContent>
            </w:sdt>
            <w:sdt>
              <w:sdtPr>
                <w:tag w:val="goog_rdk_849"/>
                <w:id w:val="298590564"/>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$ 7,963</w:t>
                    </w:r>
                  </w:p>
                </w:tc>
              </w:sdtContent>
            </w:sdt>
            <w:sdt>
              <w:sdtPr>
                <w:tag w:val="goog_rdk_850"/>
                <w:id w:val="-1456315349"/>
                <w:lock w:val="contentLocked"/>
              </w:sdtPr>
              <w:sdtEndPr/>
              <w:sdtContent>
                <w:tc>
                  <w:tcPr>
                    <w:tcW w:w="13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$ 5,070</w:t>
                    </w:r>
                  </w:p>
                </w:tc>
              </w:sdtContent>
            </w:sdt>
            <w:sdt>
              <w:sdtPr>
                <w:tag w:val="goog_rdk_851"/>
                <w:id w:val="-815764472"/>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$ 9,913</w:t>
                    </w:r>
                  </w:p>
                </w:tc>
              </w:sdtContent>
            </w:sdt>
            <w:sdt>
              <w:sdtPr>
                <w:tag w:val="goog_rdk_852"/>
                <w:id w:val="-726834472"/>
                <w:lock w:val="contentLocked"/>
              </w:sdtPr>
              <w:sdtEndPr/>
              <w:sdtContent>
                <w:tc>
                  <w:tcPr>
                    <w:tcW w:w="135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$ 1,087</w:t>
                    </w:r>
                  </w:p>
                </w:tc>
              </w:sdtContent>
            </w:sdt>
          </w:tr>
          <w:tr w:rsidR="00743DA6">
            <w:trPr>
              <w:trHeight w:val="3450"/>
            </w:trPr>
            <w:sdt>
              <w:sdtPr>
                <w:tag w:val="goog_rdk_853"/>
                <w:id w:val="-905492123"/>
                <w:lock w:val="contentLocked"/>
              </w:sdtPr>
              <w:sdtEndPr/>
              <w:sdtContent>
                <w:tc>
                  <w:tcPr>
                    <w:tcW w:w="150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Adoptar 62 Instrumento(s) de aprovechamiento del espacio público por parte de comunidades organizadas, asociaciones y ciudadanos en general, para promover el uso del espacio público</w:t>
                    </w:r>
                  </w:p>
                </w:tc>
              </w:sdtContent>
            </w:sdt>
            <w:sdt>
              <w:sdtPr>
                <w:tag w:val="goog_rdk_854"/>
                <w:id w:val="-666845845"/>
                <w:lock w:val="contentLocked"/>
              </w:sdtPr>
              <w:sdtEndPr/>
              <w:sdtContent>
                <w:tc>
                  <w:tcPr>
                    <w:tcW w:w="219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$ 2,683</w:t>
                    </w:r>
                  </w:p>
                </w:tc>
              </w:sdtContent>
            </w:sdt>
            <w:sdt>
              <w:sdtPr>
                <w:tag w:val="goog_rdk_855"/>
                <w:id w:val="477793618"/>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$ 2,529</w:t>
                    </w:r>
                  </w:p>
                </w:tc>
              </w:sdtContent>
            </w:sdt>
            <w:sdt>
              <w:sdtPr>
                <w:tag w:val="goog_rdk_856"/>
                <w:id w:val="-1242884672"/>
                <w:lock w:val="contentLocked"/>
              </w:sdtPr>
              <w:sdtEndPr/>
              <w:sdtContent>
                <w:tc>
                  <w:tcPr>
                    <w:tcW w:w="13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$ 1,718</w:t>
                    </w:r>
                  </w:p>
                </w:tc>
              </w:sdtContent>
            </w:sdt>
            <w:sdt>
              <w:sdtPr>
                <w:tag w:val="goog_rdk_857"/>
                <w:id w:val="717897235"/>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$ 3,144</w:t>
                    </w:r>
                  </w:p>
                </w:tc>
              </w:sdtContent>
            </w:sdt>
            <w:sdt>
              <w:sdtPr>
                <w:tag w:val="goog_rdk_858"/>
                <w:id w:val="-898246765"/>
                <w:lock w:val="contentLocked"/>
              </w:sdtPr>
              <w:sdtEndPr/>
              <w:sdtContent>
                <w:tc>
                  <w:tcPr>
                    <w:tcW w:w="135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$ 461</w:t>
                    </w:r>
                  </w:p>
                </w:tc>
              </w:sdtContent>
            </w:sdt>
          </w:tr>
          <w:tr w:rsidR="00743DA6">
            <w:trPr>
              <w:trHeight w:val="1425"/>
            </w:trPr>
            <w:sdt>
              <w:sdtPr>
                <w:tag w:val="goog_rdk_859"/>
                <w:id w:val="-1957967336"/>
                <w:lock w:val="contentLocked"/>
              </w:sdtPr>
              <w:sdtEndPr/>
              <w:sdtContent>
                <w:tc>
                  <w:tcPr>
                    <w:tcW w:w="150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Incorporar 9100000 Metro(s) cuadrado(s) de bienes fiscales y públicos</w:t>
                    </w:r>
                  </w:p>
                </w:tc>
              </w:sdtContent>
            </w:sdt>
            <w:sdt>
              <w:sdtPr>
                <w:tag w:val="goog_rdk_860"/>
                <w:id w:val="-1087938626"/>
                <w:lock w:val="contentLocked"/>
              </w:sdtPr>
              <w:sdtEndPr/>
              <w:sdtContent>
                <w:tc>
                  <w:tcPr>
                    <w:tcW w:w="219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$ 3,764</w:t>
                    </w:r>
                  </w:p>
                </w:tc>
              </w:sdtContent>
            </w:sdt>
            <w:sdt>
              <w:sdtPr>
                <w:tag w:val="goog_rdk_861"/>
                <w:id w:val="2042019100"/>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$ 3,685</w:t>
                    </w:r>
                  </w:p>
                </w:tc>
              </w:sdtContent>
            </w:sdt>
            <w:sdt>
              <w:sdtPr>
                <w:tag w:val="goog_rdk_862"/>
                <w:id w:val="1730914023"/>
                <w:lock w:val="contentLocked"/>
              </w:sdtPr>
              <w:sdtEndPr/>
              <w:sdtContent>
                <w:tc>
                  <w:tcPr>
                    <w:tcW w:w="13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$ 2,411</w:t>
                    </w:r>
                  </w:p>
                </w:tc>
              </w:sdtContent>
            </w:sdt>
            <w:sdt>
              <w:sdtPr>
                <w:tag w:val="goog_rdk_863"/>
                <w:id w:val="1363004996"/>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$ 5,027</w:t>
                    </w:r>
                  </w:p>
                </w:tc>
              </w:sdtContent>
            </w:sdt>
            <w:sdt>
              <w:sdtPr>
                <w:tag w:val="goog_rdk_864"/>
                <w:id w:val="1305502568"/>
                <w:lock w:val="contentLocked"/>
              </w:sdtPr>
              <w:sdtEndPr/>
              <w:sdtContent>
                <w:tc>
                  <w:tcPr>
                    <w:tcW w:w="135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$ 1,263</w:t>
                    </w:r>
                  </w:p>
                </w:tc>
              </w:sdtContent>
            </w:sdt>
          </w:tr>
          <w:tr w:rsidR="00743DA6">
            <w:trPr>
              <w:trHeight w:val="1425"/>
            </w:trPr>
            <w:sdt>
              <w:sdtPr>
                <w:tag w:val="goog_rdk_865"/>
                <w:id w:val="-2012458227"/>
                <w:lock w:val="contentLocked"/>
              </w:sdtPr>
              <w:sdtEndPr/>
              <w:sdtContent>
                <w:tc>
                  <w:tcPr>
                    <w:tcW w:w="150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Sanear y/o titular 2500000 Metro(s) cuadrado(s) de bienes fiscales y públicos</w:t>
                    </w:r>
                  </w:p>
                </w:tc>
              </w:sdtContent>
            </w:sdt>
            <w:sdt>
              <w:sdtPr>
                <w:tag w:val="goog_rdk_866"/>
                <w:id w:val="-1156786546"/>
                <w:lock w:val="contentLocked"/>
              </w:sdtPr>
              <w:sdtEndPr/>
              <w:sdtContent>
                <w:tc>
                  <w:tcPr>
                    <w:tcW w:w="219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$ 1,751</w:t>
                    </w:r>
                  </w:p>
                </w:tc>
              </w:sdtContent>
            </w:sdt>
            <w:sdt>
              <w:sdtPr>
                <w:tag w:val="goog_rdk_867"/>
                <w:id w:val="1551725371"/>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$ 1,736</w:t>
                    </w:r>
                  </w:p>
                </w:tc>
              </w:sdtContent>
            </w:sdt>
            <w:sdt>
              <w:sdtPr>
                <w:tag w:val="goog_rdk_868"/>
                <w:id w:val="-694372018"/>
                <w:lock w:val="contentLocked"/>
              </w:sdtPr>
              <w:sdtEndPr/>
              <w:sdtContent>
                <w:tc>
                  <w:tcPr>
                    <w:tcW w:w="13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$ 1,109</w:t>
                    </w:r>
                  </w:p>
                </w:tc>
              </w:sdtContent>
            </w:sdt>
            <w:sdt>
              <w:sdtPr>
                <w:tag w:val="goog_rdk_869"/>
                <w:id w:val="-2082231689"/>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$ 2,031</w:t>
                    </w:r>
                  </w:p>
                </w:tc>
              </w:sdtContent>
            </w:sdt>
            <w:sdt>
              <w:sdtPr>
                <w:tag w:val="goog_rdk_870"/>
                <w:id w:val="-1971782666"/>
                <w:lock w:val="contentLocked"/>
              </w:sdtPr>
              <w:sdtEndPr/>
              <w:sdtContent>
                <w:tc>
                  <w:tcPr>
                    <w:tcW w:w="135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$ 280</w:t>
                    </w:r>
                  </w:p>
                </w:tc>
              </w:sdtContent>
            </w:sdt>
          </w:tr>
          <w:tr w:rsidR="00743DA6">
            <w:trPr>
              <w:trHeight w:val="1650"/>
            </w:trPr>
            <w:sdt>
              <w:sdtPr>
                <w:tag w:val="goog_rdk_871"/>
                <w:id w:val="957117302"/>
                <w:lock w:val="contentLocked"/>
              </w:sdtPr>
              <w:sdtEndPr/>
              <w:sdtContent>
                <w:tc>
                  <w:tcPr>
                    <w:tcW w:w="150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5 - Ofertar 48 Bien(es) del Distrito Capital del sector central para la enajenación a título oneroso</w:t>
                    </w:r>
                  </w:p>
                </w:tc>
              </w:sdtContent>
            </w:sdt>
            <w:sdt>
              <w:sdtPr>
                <w:tag w:val="goog_rdk_872"/>
                <w:id w:val="-84915275"/>
                <w:lock w:val="contentLocked"/>
              </w:sdtPr>
              <w:sdtEndPr/>
              <w:sdtContent>
                <w:tc>
                  <w:tcPr>
                    <w:tcW w:w="219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$ 346</w:t>
                    </w:r>
                  </w:p>
                </w:tc>
              </w:sdtContent>
            </w:sdt>
            <w:sdt>
              <w:sdtPr>
                <w:tag w:val="goog_rdk_873"/>
                <w:id w:val="-1626003303"/>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$ 321</w:t>
                    </w:r>
                  </w:p>
                </w:tc>
              </w:sdtContent>
            </w:sdt>
            <w:sdt>
              <w:sdtPr>
                <w:tag w:val="goog_rdk_874"/>
                <w:id w:val="944543671"/>
                <w:lock w:val="contentLocked"/>
              </w:sdtPr>
              <w:sdtEndPr/>
              <w:sdtContent>
                <w:tc>
                  <w:tcPr>
                    <w:tcW w:w="13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$ 190</w:t>
                    </w:r>
                  </w:p>
                </w:tc>
              </w:sdtContent>
            </w:sdt>
            <w:sdt>
              <w:sdtPr>
                <w:tag w:val="goog_rdk_875"/>
                <w:id w:val="2028172293"/>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$ 468</w:t>
                    </w:r>
                  </w:p>
                </w:tc>
              </w:sdtContent>
            </w:sdt>
            <w:sdt>
              <w:sdtPr>
                <w:tag w:val="goog_rdk_876"/>
                <w:id w:val="51511167"/>
                <w:lock w:val="contentLocked"/>
              </w:sdtPr>
              <w:sdtEndPr/>
              <w:sdtContent>
                <w:tc>
                  <w:tcPr>
                    <w:tcW w:w="135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$ 122</w:t>
                    </w:r>
                  </w:p>
                </w:tc>
              </w:sdtContent>
            </w:sdt>
          </w:tr>
          <w:tr w:rsidR="00743DA6">
            <w:trPr>
              <w:trHeight w:val="1650"/>
            </w:trPr>
            <w:sdt>
              <w:sdtPr>
                <w:tag w:val="goog_rdk_877"/>
                <w:id w:val="937746302"/>
                <w:lock w:val="contentLocked"/>
              </w:sdtPr>
              <w:sdtEndPr/>
              <w:sdtContent>
                <w:tc>
                  <w:tcPr>
                    <w:tcW w:w="150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4 - Elaborar 4 Documento(s) técnico-jurídicos de los bienes sujetos a enajenación o transferencia</w:t>
                    </w:r>
                  </w:p>
                </w:tc>
              </w:sdtContent>
            </w:sdt>
            <w:sdt>
              <w:sdtPr>
                <w:tag w:val="goog_rdk_878"/>
                <w:id w:val="-1682511458"/>
                <w:lock w:val="contentLocked"/>
              </w:sdtPr>
              <w:sdtEndPr/>
              <w:sdtContent>
                <w:tc>
                  <w:tcPr>
                    <w:tcW w:w="219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$ 133</w:t>
                    </w:r>
                  </w:p>
                </w:tc>
              </w:sdtContent>
            </w:sdt>
            <w:sdt>
              <w:sdtPr>
                <w:tag w:val="goog_rdk_879"/>
                <w:id w:val="-1294050827"/>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$ 127</w:t>
                    </w:r>
                  </w:p>
                </w:tc>
              </w:sdtContent>
            </w:sdt>
            <w:sdt>
              <w:sdtPr>
                <w:tag w:val="goog_rdk_880"/>
                <w:id w:val="410791788"/>
                <w:lock w:val="contentLocked"/>
              </w:sdtPr>
              <w:sdtEndPr/>
              <w:sdtContent>
                <w:tc>
                  <w:tcPr>
                    <w:tcW w:w="13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$ 65</w:t>
                    </w:r>
                  </w:p>
                </w:tc>
              </w:sdtContent>
            </w:sdt>
            <w:sdt>
              <w:sdtPr>
                <w:tag w:val="goog_rdk_881"/>
                <w:id w:val="-657602610"/>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$ 163</w:t>
                    </w:r>
                  </w:p>
                </w:tc>
              </w:sdtContent>
            </w:sdt>
            <w:sdt>
              <w:sdtPr>
                <w:tag w:val="goog_rdk_882"/>
                <w:id w:val="1258787704"/>
                <w:lock w:val="contentLocked"/>
              </w:sdtPr>
              <w:sdtEndPr/>
              <w:sdtContent>
                <w:tc>
                  <w:tcPr>
                    <w:tcW w:w="135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$ 29</w:t>
                    </w:r>
                  </w:p>
                </w:tc>
              </w:sdtContent>
            </w:sdt>
          </w:tr>
          <w:tr w:rsidR="00743DA6">
            <w:trPr>
              <w:trHeight w:val="2550"/>
            </w:trPr>
            <w:sdt>
              <w:sdtPr>
                <w:tag w:val="goog_rdk_883"/>
                <w:id w:val="695005010"/>
                <w:lock w:val="contentLocked"/>
              </w:sdtPr>
              <w:sdtEndPr/>
              <w:sdtContent>
                <w:tc>
                  <w:tcPr>
                    <w:tcW w:w="150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6 - Consolidar 1 Documento(s) de análisis derivado del seguimiento a la ejecución de la Política Distrital de Espacio Público</w:t>
                    </w:r>
                  </w:p>
                </w:tc>
              </w:sdtContent>
            </w:sdt>
            <w:sdt>
              <w:sdtPr>
                <w:tag w:val="goog_rdk_884"/>
                <w:id w:val="-86902879"/>
                <w:lock w:val="contentLocked"/>
              </w:sdtPr>
              <w:sdtEndPr/>
              <w:sdtContent>
                <w:tc>
                  <w:tcPr>
                    <w:tcW w:w="219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$ 59</w:t>
                    </w:r>
                  </w:p>
                </w:tc>
              </w:sdtContent>
            </w:sdt>
            <w:sdt>
              <w:sdtPr>
                <w:tag w:val="goog_rdk_885"/>
                <w:id w:val="-167357430"/>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$ 59</w:t>
                    </w:r>
                  </w:p>
                </w:tc>
              </w:sdtContent>
            </w:sdt>
            <w:sdt>
              <w:sdtPr>
                <w:tag w:val="goog_rdk_886"/>
                <w:id w:val="-190969587"/>
                <w:lock w:val="contentLocked"/>
              </w:sdtPr>
              <w:sdtEndPr/>
              <w:sdtContent>
                <w:tc>
                  <w:tcPr>
                    <w:tcW w:w="13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$ 37</w:t>
                    </w:r>
                  </w:p>
                </w:tc>
              </w:sdtContent>
            </w:sdt>
            <w:sdt>
              <w:sdtPr>
                <w:tag w:val="goog_rdk_887"/>
                <w:id w:val="-1891509176"/>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$ 62</w:t>
                    </w:r>
                  </w:p>
                </w:tc>
              </w:sdtContent>
            </w:sdt>
            <w:sdt>
              <w:sdtPr>
                <w:tag w:val="goog_rdk_888"/>
                <w:id w:val="-247247191"/>
                <w:lock w:val="contentLocked"/>
              </w:sdtPr>
              <w:sdtEndPr/>
              <w:sdtContent>
                <w:tc>
                  <w:tcPr>
                    <w:tcW w:w="135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w:t>
                    </w:r>
                  </w:p>
                </w:tc>
              </w:sdtContent>
            </w:sdt>
          </w:tr>
          <w:tr w:rsidR="00743DA6">
            <w:trPr>
              <w:trHeight w:val="4125"/>
            </w:trPr>
            <w:sdt>
              <w:sdtPr>
                <w:tag w:val="goog_rdk_889"/>
                <w:id w:val="-929543280"/>
                <w:lock w:val="contentLocked"/>
              </w:sdtPr>
              <w:sdtEndPr/>
              <w:sdtContent>
                <w:tc>
                  <w:tcPr>
                    <w:tcW w:w="150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Desarrollar 1 Estrategia(s) para el fortalecimiento y madurez del proceso de gestión de proyectos que permitan garantizar el cumplimiento de los proyectos derivados del PETI en términos del alcance, tiempo y costo</w:t>
                    </w:r>
                  </w:p>
                </w:tc>
              </w:sdtContent>
            </w:sdt>
            <w:sdt>
              <w:sdtPr>
                <w:tag w:val="goog_rdk_890"/>
                <w:id w:val="-1704667550"/>
                <w:lock w:val="contentLocked"/>
              </w:sdtPr>
              <w:sdtEndPr/>
              <w:sdtContent>
                <w:tc>
                  <w:tcPr>
                    <w:tcW w:w="219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$ 992</w:t>
                    </w:r>
                  </w:p>
                </w:tc>
              </w:sdtContent>
            </w:sdt>
            <w:sdt>
              <w:sdtPr>
                <w:tag w:val="goog_rdk_891"/>
                <w:id w:val="762965033"/>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$ 992</w:t>
                    </w:r>
                  </w:p>
                </w:tc>
              </w:sdtContent>
            </w:sdt>
            <w:sdt>
              <w:sdtPr>
                <w:tag w:val="goog_rdk_892"/>
                <w:id w:val="1768550485"/>
                <w:lock w:val="contentLocked"/>
              </w:sdtPr>
              <w:sdtEndPr/>
              <w:sdtContent>
                <w:tc>
                  <w:tcPr>
                    <w:tcW w:w="1395"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$ 554</w:t>
                    </w:r>
                  </w:p>
                </w:tc>
              </w:sdtContent>
            </w:sdt>
            <w:sdt>
              <w:sdtPr>
                <w:tag w:val="goog_rdk_893"/>
                <w:id w:val="136706653"/>
                <w:lock w:val="contentLocked"/>
              </w:sdtPr>
              <w:sdtEndPr/>
              <w:sdtContent>
                <w:tc>
                  <w:tcPr>
                    <w:tcW w:w="141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$ 996</w:t>
                    </w:r>
                  </w:p>
                </w:tc>
              </w:sdtContent>
            </w:sdt>
            <w:sdt>
              <w:sdtPr>
                <w:tag w:val="goog_rdk_894"/>
                <w:id w:val="-410866068"/>
                <w:lock w:val="contentLocked"/>
              </w:sdtPr>
              <w:sdtEndPr/>
              <w:sdtContent>
                <w:tc>
                  <w:tcPr>
                    <w:tcW w:w="1350"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w:t>
                    </w:r>
                  </w:p>
                </w:tc>
              </w:sdtContent>
            </w:sdt>
          </w:tr>
        </w:tbl>
      </w:sdtContent>
    </w:sdt>
    <w:p w:rsidR="00743DA6" w:rsidRDefault="00D95D19">
      <w:pPr>
        <w:spacing w:line="276" w:lineRule="auto"/>
        <w:jc w:val="both"/>
        <w:rPr>
          <w:sz w:val="22"/>
          <w:szCs w:val="22"/>
        </w:rPr>
      </w:pP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jc w:val="both"/>
        <w:rPr>
          <w:sz w:val="22"/>
          <w:szCs w:val="22"/>
        </w:rPr>
      </w:pPr>
      <w:r>
        <w:rPr>
          <w:sz w:val="22"/>
          <w:szCs w:val="22"/>
        </w:rPr>
        <w:t>En consecuencia de lo anterior, el examen de las actividades que registran aumentos presupuestales para 2026 no solo permite identificar tendencias de priorización, sino también tensiones estructurales en la lógica de asignación del DADEP. A diferencia de lo que sugeriría un análisis tradicional basado en la eficiencia marginal del gasto, los incrementos no están guiados por un diagnóstico claro de productividad institucional. Por el contrario, se observa que varias de las actividades beneficiadas presentan rezagos significativos en la cadena de ejecución del 2025, particularmente en la fase de giros, lo que sugiere que el presupuesto adicional no está respaldado por aumentos verificables en la capacidad operativa. Ello indica un riesgo evidente: el presupuesto 2026 reproduce, en lugar de corregir, los desajustes entre programación, compromisos y entrega efectiva de bienes y servicios públicos. De fondo, este comportamiento revela una programación expansiva no soportada en evidencia, que tensiona aún más la capacidad instalada y amenaza con profundizar la brecha entre metas formales y resultados tangibles.</w:t>
      </w:r>
    </w:p>
    <w:p w:rsidR="00743DA6" w:rsidRDefault="00D95D19">
      <w:pPr>
        <w:spacing w:before="240" w:after="240"/>
        <w:jc w:val="both"/>
        <w:rPr>
          <w:sz w:val="22"/>
          <w:szCs w:val="22"/>
        </w:rPr>
      </w:pPr>
      <w:r>
        <w:rPr>
          <w:sz w:val="22"/>
          <w:szCs w:val="22"/>
        </w:rPr>
        <w:t>Bajo esta premisa, resulta necesario examinar en detalle los aumentos aprobados para actividades específicas. La asistencia técnica a alcaldías locales, pese a recibir el incremento más alto (+$1.087 millones), presenta un nivel de giros que apenas supera el 57 % de lo programado en 2025; aumentar recursos en estas condiciones es financieramente riesgoso, pues incrementa obligaciones sin asegurar que la entidad haya superado los cuellos de botella en estructuración, acompañamiento territorial o despliegue técnico en campo. Aún más crítico es el caso de la incorporación de metros cuadrados al inventario distrital, donde el aumento de $1.263 millones ignora que la capacidad institucional, jurídica, topográfica y administrativa, tiene un límite natural derivado de la disponibilidad real de predios y del tiempo de maduración de los procesos. De manera similar, actividades vinculadas al aprovechamiento del espacio público, saneamiento jurídico, elaboración de documentos técnico-jurídicos y operaciones de enajenación reciben incrementos que no se corresponden con sus niveles actuales de productividad; en varios casos, los giros no alcanzan siquiera el 60 % de lo programado. Esta situación evidencia que la entidad está ampliando la base presupuestal de actividades cuya tracción operativa es parcial, lo cual anticipa riesgos de subejecución, reprogramación y reprocesos administrativos durante 2026.</w:t>
      </w:r>
    </w:p>
    <w:p w:rsidR="00743DA6" w:rsidRDefault="00D95D19">
      <w:pPr>
        <w:spacing w:before="240" w:after="240"/>
        <w:jc w:val="both"/>
      </w:pPr>
      <w:r>
        <w:rPr>
          <w:sz w:val="22"/>
          <w:szCs w:val="22"/>
        </w:rPr>
        <w:t>En balance, los aumentos presupuestales aprobados no deben interpretarse como un fortalecimiento estratégico del DADEP, sino como la manifestación de un proceso de programación insuficientemente sustentado, que expande recursos sin atender las restricciones administrativas, técnicas y contractuales evidenciadas en 2025. La ausencia de criterios de priorización basados en desempeño, y la decisión de aumentar recursos a líneas con baja ejecución, plantea un riesgo de ineficiencia fiscal y amenaza con reproducir patrones de gasto inercial, sin impacto comprobado en la recuperación del espacio público, la gestión predial ni la gobernanza territorial. Para garantizar un uso eficiente y responsable del presupuesto, estos incrementos deberían condicionarse a mejoras en la capacidad operativa, redefinición de metas y ajustes en los procesos internos que hoy limitan la ejecución real de los recursos.</w:t>
      </w:r>
    </w:p>
    <w:p w:rsidR="00743DA6" w:rsidRDefault="00743DA6">
      <w:pPr>
        <w:rPr>
          <w:b/>
          <w:bCs/>
        </w:rPr>
      </w:pPr>
    </w:p>
    <w:p w:rsidR="00743DA6" w:rsidRDefault="00743DA6">
      <w:pPr>
        <w:rPr>
          <w:b/>
          <w:bCs/>
        </w:rPr>
      </w:pPr>
    </w:p>
    <w:p w:rsidR="00743DA6" w:rsidRDefault="00743DA6">
      <w:pPr>
        <w:rPr>
          <w:b/>
          <w:bCs/>
        </w:rPr>
      </w:pPr>
    </w:p>
    <w:p w:rsidR="00743DA6" w:rsidRDefault="00743DA6">
      <w:pPr>
        <w:rPr>
          <w:b/>
          <w:bCs/>
        </w:rPr>
      </w:pPr>
    </w:p>
    <w:p w:rsidR="00743DA6" w:rsidRDefault="00743DA6">
      <w:pPr>
        <w:rPr>
          <w:b/>
          <w:bCs/>
        </w:rPr>
      </w:pPr>
    </w:p>
    <w:p w:rsidR="00743DA6" w:rsidRDefault="00743DA6">
      <w:pPr>
        <w:rPr>
          <w:b/>
          <w:bCs/>
        </w:rPr>
      </w:pPr>
    </w:p>
    <w:p w:rsidR="00743DA6" w:rsidRDefault="00743DA6">
      <w:pPr>
        <w:rPr>
          <w:b/>
          <w:bCs/>
        </w:rPr>
      </w:pPr>
    </w:p>
    <w:p w:rsidR="00743DA6" w:rsidRDefault="00743DA6">
      <w:pPr>
        <w:rPr>
          <w:b/>
          <w:bCs/>
        </w:rPr>
      </w:pPr>
    </w:p>
    <w:p w:rsidR="00743DA6" w:rsidRDefault="00743DA6">
      <w:pPr>
        <w:rPr>
          <w:b/>
          <w:bCs/>
        </w:rPr>
      </w:pPr>
    </w:p>
    <w:p w:rsidR="00743DA6" w:rsidRDefault="00743DA6">
      <w:pPr>
        <w:rPr>
          <w:b/>
          <w:bCs/>
        </w:rPr>
      </w:pPr>
    </w:p>
    <w:p w:rsidR="00743DA6" w:rsidRDefault="00743DA6">
      <w:pPr>
        <w:rPr>
          <w:b/>
          <w:bCs/>
        </w:rPr>
      </w:pPr>
    </w:p>
    <w:p w:rsidR="00743DA6" w:rsidRDefault="00D95D19">
      <w:pPr>
        <w:rPr>
          <w:b/>
          <w:bCs/>
        </w:rPr>
      </w:pPr>
      <w:r>
        <w:rPr>
          <w:b/>
          <w:bCs/>
        </w:rPr>
        <w:t>Secretaría Distrital de Hacienda</w:t>
      </w:r>
    </w:p>
    <w:p w:rsidR="00743DA6" w:rsidRDefault="00743DA6"/>
    <w:p w:rsidR="00743DA6" w:rsidRDefault="00D95D19">
      <w:pPr>
        <w:jc w:val="center"/>
        <w:rPr>
          <w:sz w:val="16"/>
          <w:szCs w:val="16"/>
        </w:rPr>
      </w:pPr>
      <w:r>
        <w:rPr>
          <w:sz w:val="22"/>
          <w:szCs w:val="22"/>
        </w:rPr>
        <w:t>Gráfica x Histórico Presupuestal 2022- 2025 Secretaría Distrital de Hacienda</w:t>
      </w:r>
      <w:r>
        <w:rPr>
          <w:noProof/>
          <w:lang w:val="es-CO"/>
        </w:rPr>
        <w:drawing>
          <wp:inline distT="114300" distB="114300" distL="114300" distR="114300">
            <wp:extent cx="5612130" cy="2197100"/>
            <wp:effectExtent l="0" t="0" r="0" b="0"/>
            <wp:docPr id="212739958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1"/>
                    <a:srcRect/>
                    <a:stretch>
                      <a:fillRect/>
                    </a:stretch>
                  </pic:blipFill>
                  <pic:spPr>
                    <a:xfrm>
                      <a:off x="0" y="0"/>
                      <a:ext cx="5612130" cy="21971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743DA6">
      <w:pPr>
        <w:rPr>
          <w:sz w:val="16"/>
          <w:szCs w:val="16"/>
        </w:rPr>
      </w:pPr>
    </w:p>
    <w:p w:rsidR="00743DA6" w:rsidRDefault="00D95D19">
      <w:pPr>
        <w:jc w:val="both"/>
        <w:rPr>
          <w:sz w:val="22"/>
          <w:szCs w:val="22"/>
        </w:rPr>
      </w:pPr>
      <w:r>
        <w:rPr>
          <w:sz w:val="22"/>
          <w:szCs w:val="22"/>
        </w:rPr>
        <w:t>Solo dos proyectos de inversión directa presentan un aumento o se mantienen estables: el Fortalecimiento de la infraestructura tecnológica de la SDH (152,88%) y el Impulso de la cultura de la calidad, control interno y de la mejora continua (27,63%) tienen un aumento.</w:t>
      </w:r>
    </w:p>
    <w:p w:rsidR="00743DA6" w:rsidRDefault="00743DA6">
      <w:pPr>
        <w:jc w:val="both"/>
        <w:rPr>
          <w:sz w:val="22"/>
          <w:szCs w:val="22"/>
        </w:rPr>
      </w:pPr>
    </w:p>
    <w:p w:rsidR="00743DA6" w:rsidRDefault="00D95D19">
      <w:pPr>
        <w:jc w:val="both"/>
        <w:rPr>
          <w:sz w:val="22"/>
          <w:szCs w:val="22"/>
        </w:rPr>
      </w:pPr>
      <w:r>
        <w:rPr>
          <w:sz w:val="22"/>
          <w:szCs w:val="22"/>
        </w:rPr>
        <w:t xml:space="preserve">La gran mayoría de los proyectos de inversión directa de la Secretaría Distrital de Hacienda presentan una disminución en su presupuesto proyectado para 2026 en comparación con el presupuesto vigente a septiembre de 2025. </w:t>
      </w:r>
    </w:p>
    <w:p w:rsidR="00743DA6" w:rsidRDefault="00743DA6">
      <w:pPr>
        <w:jc w:val="both"/>
        <w:rPr>
          <w:sz w:val="22"/>
          <w:szCs w:val="22"/>
        </w:rPr>
      </w:pPr>
    </w:p>
    <w:p w:rsidR="00743DA6" w:rsidRDefault="00D95D19">
      <w:pPr>
        <w:jc w:val="center"/>
        <w:rPr>
          <w:sz w:val="22"/>
          <w:szCs w:val="22"/>
        </w:rPr>
      </w:pPr>
      <w:r>
        <w:rPr>
          <w:b/>
          <w:bCs/>
          <w:sz w:val="22"/>
          <w:szCs w:val="22"/>
        </w:rPr>
        <w:t>Tabla No. 44.</w:t>
      </w:r>
      <w:r>
        <w:rPr>
          <w:sz w:val="22"/>
          <w:szCs w:val="22"/>
        </w:rPr>
        <w:t xml:space="preserve"> Programación Presupuestal Comparada de Secretaría Distrital de Hacienda Vigencia 2025 y Proyecto de Presupuesto 2026 </w:t>
      </w:r>
    </w:p>
    <w:p w:rsidR="00743DA6" w:rsidRDefault="00D95D19">
      <w:pPr>
        <w:jc w:val="both"/>
        <w:rPr>
          <w:sz w:val="22"/>
          <w:szCs w:val="22"/>
        </w:rPr>
      </w:pPr>
      <w:r>
        <w:rPr>
          <w:noProof/>
          <w:sz w:val="22"/>
          <w:szCs w:val="22"/>
          <w:lang w:val="es-CO"/>
        </w:rPr>
        <w:drawing>
          <wp:inline distT="114300" distB="114300" distL="114300" distR="114300">
            <wp:extent cx="5612130" cy="2806700"/>
            <wp:effectExtent l="0" t="0" r="0" b="0"/>
            <wp:docPr id="2127399610"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42"/>
                    <a:srcRect/>
                    <a:stretch>
                      <a:fillRect/>
                    </a:stretch>
                  </pic:blipFill>
                  <pic:spPr>
                    <a:xfrm>
                      <a:off x="0" y="0"/>
                      <a:ext cx="5612130" cy="2806700"/>
                    </a:xfrm>
                    <a:prstGeom prst="rect">
                      <a:avLst/>
                    </a:prstGeom>
                    <a:ln/>
                  </pic:spPr>
                </pic:pic>
              </a:graphicData>
            </a:graphic>
          </wp:inline>
        </w:drawing>
      </w:r>
    </w:p>
    <w:p w:rsidR="00743DA6" w:rsidRDefault="00D95D19">
      <w:pPr>
        <w:jc w:val="center"/>
        <w:rPr>
          <w:sz w:val="22"/>
          <w:szCs w:val="22"/>
        </w:rPr>
      </w:pPr>
      <w:r>
        <w:rPr>
          <w:b/>
          <w:bCs/>
          <w:sz w:val="16"/>
          <w:szCs w:val="16"/>
        </w:rPr>
        <w:t>Fuente:</w:t>
      </w:r>
      <w:r>
        <w:rPr>
          <w:sz w:val="16"/>
          <w:szCs w:val="16"/>
        </w:rPr>
        <w:t xml:space="preserve"> Elaboración propia (2025) con base en la información suministrada de la SDH (2025).</w:t>
      </w:r>
    </w:p>
    <w:p w:rsidR="00743DA6" w:rsidRDefault="00D95D19">
      <w:pPr>
        <w:spacing w:before="240" w:line="276" w:lineRule="auto"/>
        <w:jc w:val="both"/>
      </w:pPr>
      <w:r>
        <w:rPr>
          <w:sz w:val="22"/>
          <w:szCs w:val="22"/>
        </w:rPr>
        <w:t>El presupuesto de Inversión total de la SDH disminuye en un 6,62%, se observa una priorización y aumento de recursos en proyectos directamente relacionados con la modernización de los procesos de recaudación y pago, como el Fortalecimiento de la Gestión de Egresos (30,37%) y el Fortalecimiento de la Gestión de Ingresos (10,67%). En contraste, los recursos destinados a la Optimización de la Gestión Institucional y la Gobernanza experimentaron el mayor recorte (-45,64%).</w:t>
      </w:r>
    </w:p>
    <w:p w:rsidR="00743DA6" w:rsidRDefault="00743DA6"/>
    <w:p w:rsidR="00743DA6" w:rsidRDefault="00D95D19">
      <w:pPr>
        <w:rPr>
          <w:b/>
          <w:bCs/>
        </w:rPr>
      </w:pPr>
      <w:r>
        <w:rPr>
          <w:b/>
          <w:bCs/>
        </w:rPr>
        <w:t>Unidad Administrativa Especial de Catastro Distrital</w:t>
      </w:r>
    </w:p>
    <w:p w:rsidR="00743DA6" w:rsidRDefault="00743DA6"/>
    <w:p w:rsidR="00743DA6" w:rsidRDefault="00D95D19">
      <w:pPr>
        <w:pBdr>
          <w:top w:val="nil"/>
          <w:left w:val="nil"/>
          <w:bottom w:val="nil"/>
          <w:right w:val="nil"/>
          <w:between w:val="nil"/>
        </w:pBdr>
        <w:spacing w:line="259" w:lineRule="auto"/>
        <w:rPr>
          <w:b/>
          <w:bCs/>
        </w:rPr>
      </w:pPr>
      <w:r>
        <w:rPr>
          <w:b/>
          <w:bCs/>
          <w:color w:val="000000"/>
        </w:rPr>
        <w:t>Secretaría Distrital de Integración Social</w:t>
      </w:r>
    </w:p>
    <w:p w:rsidR="00743DA6" w:rsidRDefault="00D95D19">
      <w:pPr>
        <w:spacing w:before="240" w:after="240" w:line="259" w:lineRule="auto"/>
        <w:jc w:val="both"/>
        <w:rPr>
          <w:sz w:val="22"/>
          <w:szCs w:val="22"/>
        </w:rPr>
      </w:pPr>
      <w:r>
        <w:rPr>
          <w:sz w:val="22"/>
          <w:szCs w:val="22"/>
        </w:rPr>
        <w:t>El comportamiento presupuestal de la Secretaría Distrital de Integración Social (SDIS) entre 2022 y 2026 muestra un incremento sostenido, pasando de $1,19 billones en 2022 a una proyección de $2,52 billones para 2026, lo que equivale a un crecimiento acumulado cercano al 111%. Este aumento no solo implica una ampliación del volumen de recursos disponibles, sino que también señala un proceso de reorganización interna de la política social distrital. A lo largo del periodo, la SDIS ha ido desplazando el peso relativo de los servicios presenciales, la infraestructura social y el fortalecimiento institucional hacia mecanismos de apoyo basados en transferencias monetarias, lo que configura una reorientación estructural en la forma de atender a las poblaciones objetivo.</w:t>
      </w:r>
    </w:p>
    <w:p w:rsidR="00743DA6" w:rsidRDefault="00743DA6">
      <w:pPr>
        <w:spacing w:before="240" w:after="240" w:line="259" w:lineRule="auto"/>
        <w:jc w:val="both"/>
        <w:rPr>
          <w:sz w:val="22"/>
          <w:szCs w:val="22"/>
        </w:rPr>
      </w:pPr>
    </w:p>
    <w:p w:rsidR="00743DA6" w:rsidRDefault="00D95D19">
      <w:pPr>
        <w:spacing w:before="240" w:after="240" w:line="259" w:lineRule="auto"/>
        <w:jc w:val="both"/>
        <w:rPr>
          <w:sz w:val="22"/>
          <w:szCs w:val="22"/>
        </w:rPr>
      </w:pPr>
      <w:r>
        <w:rPr>
          <w:sz w:val="22"/>
          <w:szCs w:val="22"/>
        </w:rPr>
        <w:t>Este análisis permite ubicar los principales puntos de inflexión de esa transición, así como las variaciones en la composición del gasto y en la ejecución anual que acompañan este cambio. La evidencia muestra que, aunque el crecimiento global del presupuesto es significativo, las prioridades programáticas no evolucionan de manera homogénea: algunas líneas se fortalecen de manera acelerada mientras otras tienden a reducirse o a mantener niveles constantes pese al incremento general. En conjunto, el balance 2022–2026 sugiere que la SDIS se dirige hacia un modelo donde las transferencias condicionadas adquieren un rol predominante, lo que obliga a examinar con mayor detalle la coherencia interna entre programación, capacidad de ejecución y resultados esperados para la vigencia 2026.</w:t>
      </w:r>
    </w:p>
    <w:p w:rsidR="00743DA6" w:rsidRDefault="00D95D19">
      <w:pPr>
        <w:spacing w:before="240" w:after="240" w:line="259" w:lineRule="auto"/>
        <w:jc w:val="center"/>
        <w:rPr>
          <w:sz w:val="22"/>
          <w:szCs w:val="22"/>
        </w:rPr>
      </w:pPr>
      <w:r>
        <w:rPr>
          <w:sz w:val="22"/>
          <w:szCs w:val="22"/>
        </w:rPr>
        <w:t xml:space="preserve">Gráfica . Histórico de la Secretaría Distrital de Integración Social </w:t>
      </w:r>
    </w:p>
    <w:p w:rsidR="00743DA6" w:rsidRDefault="00D95D19">
      <w:pPr>
        <w:spacing w:before="240" w:after="240" w:line="259" w:lineRule="auto"/>
        <w:jc w:val="center"/>
        <w:rPr>
          <w:sz w:val="22"/>
          <w:szCs w:val="22"/>
        </w:rPr>
      </w:pPr>
      <w:r>
        <w:rPr>
          <w:noProof/>
          <w:sz w:val="22"/>
          <w:szCs w:val="22"/>
          <w:lang w:val="es-CO"/>
        </w:rPr>
        <w:drawing>
          <wp:inline distT="114300" distB="114300" distL="114300" distR="114300">
            <wp:extent cx="4462463" cy="2855976"/>
            <wp:effectExtent l="0" t="0" r="0" b="0"/>
            <wp:docPr id="212739959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3"/>
                    <a:srcRect/>
                    <a:stretch>
                      <a:fillRect/>
                    </a:stretch>
                  </pic:blipFill>
                  <pic:spPr>
                    <a:xfrm>
                      <a:off x="0" y="0"/>
                      <a:ext cx="4462463" cy="2855976"/>
                    </a:xfrm>
                    <a:prstGeom prst="rect">
                      <a:avLst/>
                    </a:prstGeom>
                    <a:ln/>
                  </pic:spPr>
                </pic:pic>
              </a:graphicData>
            </a:graphic>
          </wp:inline>
        </w:drawing>
      </w:r>
    </w:p>
    <w:p w:rsidR="00743DA6" w:rsidRDefault="00D95D19">
      <w:pPr>
        <w:spacing w:before="240" w:after="240" w:line="259" w:lineRule="auto"/>
        <w:jc w:val="both"/>
        <w:rPr>
          <w:sz w:val="22"/>
          <w:szCs w:val="22"/>
        </w:rPr>
      </w:pPr>
      <w:r>
        <w:rPr>
          <w:sz w:val="18"/>
          <w:szCs w:val="18"/>
        </w:rPr>
        <w:t>Fuente: Elaboración propia (2025) con base en la matriz comparativa de la SDH (2025).</w:t>
      </w:r>
    </w:p>
    <w:p w:rsidR="00743DA6" w:rsidRDefault="00D95D19">
      <w:pPr>
        <w:spacing w:before="240" w:after="240" w:line="259" w:lineRule="auto"/>
        <w:jc w:val="both"/>
        <w:rPr>
          <w:sz w:val="22"/>
          <w:szCs w:val="22"/>
        </w:rPr>
      </w:pPr>
      <w:r>
        <w:rPr>
          <w:sz w:val="22"/>
          <w:szCs w:val="22"/>
        </w:rPr>
        <w:t>Hallazgos Clave (Nivel Macro):</w:t>
      </w:r>
    </w:p>
    <w:p w:rsidR="00743DA6" w:rsidRDefault="00D95D19">
      <w:pPr>
        <w:numPr>
          <w:ilvl w:val="0"/>
          <w:numId w:val="52"/>
        </w:numPr>
        <w:spacing w:line="259" w:lineRule="auto"/>
        <w:jc w:val="both"/>
        <w:rPr>
          <w:sz w:val="22"/>
          <w:szCs w:val="22"/>
        </w:rPr>
      </w:pPr>
      <w:r>
        <w:rPr>
          <w:sz w:val="22"/>
          <w:szCs w:val="22"/>
        </w:rPr>
        <w:t>Crecimiento Sostenido: Tras el salto de 2023, financiado con cupo de endeudamiento, el presupuesto se ha mantenido en un piso superior a los $2 billones.</w:t>
      </w:r>
    </w:p>
    <w:p w:rsidR="00743DA6" w:rsidRDefault="00D95D19">
      <w:pPr>
        <w:numPr>
          <w:ilvl w:val="0"/>
          <w:numId w:val="52"/>
        </w:numPr>
        <w:spacing w:after="240" w:line="259" w:lineRule="auto"/>
        <w:jc w:val="both"/>
        <w:rPr>
          <w:sz w:val="22"/>
          <w:szCs w:val="22"/>
        </w:rPr>
      </w:pPr>
      <w:r>
        <w:rPr>
          <w:sz w:val="22"/>
          <w:szCs w:val="22"/>
        </w:rPr>
        <w:t>Capacidad de Ejecución: La entidad ha demostrado una capacidad robusta para ejecutar presupuestos crecientes, con tasas consistentemente superiores al 80% desde 2022, alcanzando un 84% a octubre de 2025.</w:t>
      </w:r>
    </w:p>
    <w:p w:rsidR="00743DA6" w:rsidRDefault="00743DA6">
      <w:pPr>
        <w:spacing w:before="240" w:after="240" w:line="259" w:lineRule="auto"/>
        <w:jc w:val="both"/>
        <w:rPr>
          <w:b/>
          <w:bCs/>
          <w:sz w:val="22"/>
          <w:szCs w:val="22"/>
        </w:rPr>
      </w:pPr>
    </w:p>
    <w:p w:rsidR="00743DA6" w:rsidRDefault="00D95D19">
      <w:pPr>
        <w:spacing w:before="240" w:after="240" w:line="259" w:lineRule="auto"/>
        <w:jc w:val="both"/>
        <w:rPr>
          <w:b/>
          <w:bCs/>
          <w:sz w:val="22"/>
          <w:szCs w:val="22"/>
        </w:rPr>
      </w:pPr>
      <w:r>
        <w:rPr>
          <w:b/>
          <w:bCs/>
          <w:sz w:val="22"/>
          <w:szCs w:val="22"/>
        </w:rPr>
        <w:t>Análisis de la Composición Programática:o(2025-2026)</w:t>
      </w:r>
    </w:p>
    <w:p w:rsidR="00743DA6" w:rsidRDefault="00D95D19">
      <w:pPr>
        <w:spacing w:before="240" w:after="240" w:line="259" w:lineRule="auto"/>
        <w:jc w:val="both"/>
        <w:rPr>
          <w:sz w:val="22"/>
          <w:szCs w:val="22"/>
        </w:rPr>
      </w:pPr>
      <w:r>
        <w:rPr>
          <w:sz w:val="22"/>
          <w:szCs w:val="22"/>
        </w:rPr>
        <w:t>La verdadera transformación se evidencia al analizar la distribución interna de los recursos. La comparación entre la programación 2025 y la proyección 2026 desvela prioridades contundentes.</w:t>
      </w:r>
    </w:p>
    <w:p w:rsidR="00743DA6" w:rsidRDefault="00D95D19">
      <w:pPr>
        <w:spacing w:before="240" w:after="240" w:line="259" w:lineRule="auto"/>
        <w:jc w:val="center"/>
        <w:rPr>
          <w:sz w:val="22"/>
          <w:szCs w:val="22"/>
        </w:rPr>
      </w:pPr>
      <w:r>
        <w:rPr>
          <w:sz w:val="22"/>
          <w:szCs w:val="22"/>
        </w:rPr>
        <w:t>Tabla No. 45. Proyectos de inversión comparativo 2025 proyección 2026</w:t>
      </w:r>
    </w:p>
    <w:tbl>
      <w:tblPr>
        <w:tblStyle w:val="afffffff7"/>
        <w:tblW w:w="9075" w:type="dxa"/>
        <w:tblBorders>
          <w:top w:val="nil"/>
          <w:left w:val="nil"/>
          <w:bottom w:val="nil"/>
          <w:right w:val="nil"/>
          <w:insideH w:val="nil"/>
          <w:insideV w:val="nil"/>
        </w:tblBorders>
        <w:tblLayout w:type="fixed"/>
        <w:tblLook w:val="0600" w:firstRow="0" w:lastRow="0" w:firstColumn="0" w:lastColumn="0" w:noHBand="1" w:noVBand="1"/>
      </w:tblPr>
      <w:tblGrid>
        <w:gridCol w:w="3690"/>
        <w:gridCol w:w="1077"/>
        <w:gridCol w:w="1077"/>
        <w:gridCol w:w="1077"/>
        <w:gridCol w:w="1077"/>
        <w:gridCol w:w="1077"/>
      </w:tblGrid>
      <w:tr w:rsidR="00743DA6">
        <w:trPr>
          <w:trHeight w:val="1250"/>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 xml:space="preserve">Proyectos de Inversión </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8"/>
                <w:szCs w:val="18"/>
              </w:rPr>
            </w:pPr>
            <w:r>
              <w:rPr>
                <w:rFonts w:ascii="Arial" w:eastAsia="Arial" w:hAnsi="Arial" w:cs="Arial"/>
                <w:sz w:val="18"/>
                <w:szCs w:val="18"/>
              </w:rPr>
              <w:t>COMPROMISOS 2025</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8"/>
                <w:szCs w:val="18"/>
              </w:rPr>
            </w:pPr>
            <w:r>
              <w:rPr>
                <w:rFonts w:ascii="Arial" w:eastAsia="Arial" w:hAnsi="Arial" w:cs="Arial"/>
                <w:sz w:val="18"/>
                <w:szCs w:val="18"/>
              </w:rPr>
              <w:t>GIROS 2025</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8"/>
                <w:szCs w:val="18"/>
              </w:rPr>
            </w:pPr>
            <w:r>
              <w:rPr>
                <w:rFonts w:ascii="Arial" w:eastAsia="Arial" w:hAnsi="Arial" w:cs="Arial"/>
                <w:sz w:val="18"/>
                <w:szCs w:val="18"/>
              </w:rPr>
              <w:t>PROGRAMACIÓN 2025</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8"/>
                <w:szCs w:val="18"/>
              </w:rPr>
            </w:pPr>
            <w:r>
              <w:rPr>
                <w:rFonts w:ascii="Arial" w:eastAsia="Arial" w:hAnsi="Arial" w:cs="Arial"/>
                <w:sz w:val="18"/>
                <w:szCs w:val="18"/>
              </w:rPr>
              <w:t xml:space="preserve"> PROGRAMACIÓN 2026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8"/>
                <w:szCs w:val="18"/>
              </w:rPr>
            </w:pPr>
            <w:r>
              <w:rPr>
                <w:rFonts w:ascii="Arial" w:eastAsia="Arial" w:hAnsi="Arial" w:cs="Arial"/>
                <w:sz w:val="18"/>
                <w:szCs w:val="18"/>
              </w:rPr>
              <w:t xml:space="preserve">DIFERENCIA </w:t>
            </w:r>
          </w:p>
        </w:tc>
      </w:tr>
      <w:tr w:rsidR="00743DA6">
        <w:trPr>
          <w:trHeight w:val="650"/>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Generación de la información, gestión del conocimiento y la innovación para la transformación social en Bogotá</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31.017,52</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19.279,52</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40.470,51</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158.994,29</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118.523,78</w:t>
            </w:r>
          </w:p>
        </w:tc>
      </w:tr>
      <w:tr w:rsidR="00743DA6">
        <w:trPr>
          <w:trHeight w:val="650"/>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Fortalecimiento de la Gestión Pública Institucional en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392.567,14</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284.714,98</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509.363,72</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561.983,83</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52.620,11</w:t>
            </w:r>
          </w:p>
        </w:tc>
      </w:tr>
      <w:tr w:rsidR="00743DA6">
        <w:trPr>
          <w:trHeight w:val="695"/>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Desarrollo de capacidades para las gestantes, niñas, niños, adolescentes y sus familias que promuevan su desarrollo integral en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286.873,46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165.599,43</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338.107,31</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354.027,38</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15.920,07</w:t>
            </w:r>
          </w:p>
        </w:tc>
      </w:tr>
      <w:tr w:rsidR="00743DA6">
        <w:trPr>
          <w:trHeight w:val="650"/>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Generación de oportunidades para la inclusión social y productiva de las personas mayores en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151.921,65</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84.077,94</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194.064,65</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202.060,51</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w:t>
            </w:r>
            <w:r>
              <w:rPr>
                <w:rFonts w:ascii="Arial" w:eastAsia="Arial" w:hAnsi="Arial" w:cs="Arial"/>
                <w:sz w:val="14"/>
                <w:szCs w:val="14"/>
              </w:rPr>
              <w:tab/>
              <w:t>7.995,86</w:t>
            </w:r>
          </w:p>
        </w:tc>
      </w:tr>
      <w:tr w:rsidR="00743DA6">
        <w:trPr>
          <w:trHeight w:val="695"/>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Fortalecimiento de las Comisarías de Familia para el mejoramiento en el acceso a la justicia de víctimas de violencias por razones de género y otras violencias en el contexto familiar en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5.216,64</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3.300,19</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8.108,66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9.737,06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w:t>
            </w:r>
            <w:r>
              <w:rPr>
                <w:rFonts w:ascii="Arial" w:eastAsia="Arial" w:hAnsi="Arial" w:cs="Arial"/>
                <w:sz w:val="14"/>
                <w:szCs w:val="14"/>
              </w:rPr>
              <w:tab/>
              <w:t>1.628,40</w:t>
            </w:r>
          </w:p>
        </w:tc>
      </w:tr>
      <w:tr w:rsidR="00743DA6">
        <w:trPr>
          <w:trHeight w:val="650"/>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Fortalecimiento técnico de la política social y de la calidad en la prestación de los servicios de la SDIS en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4.053,64</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2.339,17</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4.102,10</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4.205,46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w:t>
            </w:r>
            <w:r>
              <w:rPr>
                <w:rFonts w:ascii="Arial" w:eastAsia="Arial" w:hAnsi="Arial" w:cs="Arial"/>
                <w:sz w:val="14"/>
                <w:szCs w:val="14"/>
              </w:rPr>
              <w:tab/>
              <w:t>103,36</w:t>
            </w:r>
          </w:p>
        </w:tc>
      </w:tr>
      <w:tr w:rsidR="00743DA6">
        <w:trPr>
          <w:trHeight w:val="695"/>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Fortalecimiento de la gestión territorial para la promoción de la gobernanza, inclusión y movilidad social en los territorios urbanos y rurales de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13.439,95</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8.587,96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15.142,87</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14.118,56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w:t>
            </w:r>
            <w:r>
              <w:rPr>
                <w:rFonts w:ascii="Arial" w:eastAsia="Arial" w:hAnsi="Arial" w:cs="Arial"/>
                <w:sz w:val="14"/>
                <w:szCs w:val="14"/>
              </w:rPr>
              <w:tab/>
              <w:t>1.024,32</w:t>
            </w:r>
          </w:p>
        </w:tc>
      </w:tr>
      <w:tr w:rsidR="00743DA6">
        <w:trPr>
          <w:trHeight w:val="695"/>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Generación de respuestas integradoras para la Inclusión social y productiva, y la prevención de todas las formas de violencia y discriminación en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94.570,02</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49.742,14</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112.778,76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110.965,02</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w:t>
            </w:r>
            <w:r>
              <w:rPr>
                <w:rFonts w:ascii="Arial" w:eastAsia="Arial" w:hAnsi="Arial" w:cs="Arial"/>
                <w:sz w:val="14"/>
                <w:szCs w:val="14"/>
              </w:rPr>
              <w:tab/>
              <w:t>1.813,74</w:t>
            </w:r>
          </w:p>
        </w:tc>
      </w:tr>
      <w:tr w:rsidR="00743DA6">
        <w:trPr>
          <w:trHeight w:val="695"/>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Implementación de estrategias de inclusión social y productiva para la población joven en situación de pobreza y vulnerabilidad en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13.255,26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7.037,93</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17.853,46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15.769,44</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w:t>
            </w:r>
            <w:r>
              <w:rPr>
                <w:rFonts w:ascii="Arial" w:eastAsia="Arial" w:hAnsi="Arial" w:cs="Arial"/>
                <w:sz w:val="14"/>
                <w:szCs w:val="14"/>
              </w:rPr>
              <w:tab/>
              <w:t>2.084,02</w:t>
            </w:r>
          </w:p>
        </w:tc>
      </w:tr>
      <w:tr w:rsidR="00743DA6">
        <w:trPr>
          <w:trHeight w:val="650"/>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Generación del bien-estar alimentario y nutricional en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189.313,41</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96.431,56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263.246,58</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255.854,10</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w:t>
            </w:r>
            <w:r>
              <w:rPr>
                <w:rFonts w:ascii="Arial" w:eastAsia="Arial" w:hAnsi="Arial" w:cs="Arial"/>
                <w:sz w:val="14"/>
                <w:szCs w:val="14"/>
              </w:rPr>
              <w:tab/>
              <w:t>7.392,48</w:t>
            </w:r>
          </w:p>
        </w:tc>
      </w:tr>
      <w:tr w:rsidR="00743DA6">
        <w:trPr>
          <w:trHeight w:val="695"/>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Desarrollo del abordaje integral del fenómeno de habitabilidad en calle para contribuir a la reducción de formas extremas de exclusión en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85.129,16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43.812,00</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97.606,60</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87.604,38</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w:t>
            </w:r>
            <w:r>
              <w:rPr>
                <w:rFonts w:ascii="Arial" w:eastAsia="Arial" w:hAnsi="Arial" w:cs="Arial"/>
                <w:sz w:val="14"/>
                <w:szCs w:val="14"/>
              </w:rPr>
              <w:tab/>
              <w:t>10.002,21</w:t>
            </w:r>
          </w:p>
        </w:tc>
      </w:tr>
      <w:tr w:rsidR="00743DA6">
        <w:trPr>
          <w:trHeight w:val="650"/>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Fortalecimiento de la infraestructura de los servicios sociales en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34.673,97</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26.089,22</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71.961,05</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61.442,75</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w:t>
            </w:r>
            <w:r>
              <w:rPr>
                <w:rFonts w:ascii="Arial" w:eastAsia="Arial" w:hAnsi="Arial" w:cs="Arial"/>
                <w:sz w:val="14"/>
                <w:szCs w:val="14"/>
              </w:rPr>
              <w:tab/>
              <w:t>10.518,30</w:t>
            </w:r>
          </w:p>
        </w:tc>
      </w:tr>
      <w:tr w:rsidR="00743DA6">
        <w:trPr>
          <w:trHeight w:val="650"/>
        </w:trPr>
        <w:tc>
          <w:tcPr>
            <w:tcW w:w="3690" w:type="dxa"/>
            <w:tcBorders>
              <w:top w:val="single" w:sz="5" w:space="0" w:color="000000"/>
              <w:left w:val="single" w:sz="5" w:space="0" w:color="000000"/>
              <w:bottom w:val="single" w:sz="5" w:space="0" w:color="000000"/>
              <w:right w:val="single" w:sz="5" w:space="0" w:color="000000"/>
            </w:tcBorders>
            <w:tcMar>
              <w:top w:w="-623" w:type="dxa"/>
              <w:left w:w="-623" w:type="dxa"/>
              <w:bottom w:w="-623" w:type="dxa"/>
              <w:right w:w="-623" w:type="dxa"/>
            </w:tcMar>
            <w:vAlign w:val="center"/>
          </w:tcPr>
          <w:p w:rsidR="00743DA6" w:rsidRDefault="00D95D19">
            <w:pPr>
              <w:rPr>
                <w:rFonts w:ascii="Arial" w:eastAsia="Arial" w:hAnsi="Arial" w:cs="Arial"/>
                <w:sz w:val="18"/>
                <w:szCs w:val="18"/>
              </w:rPr>
            </w:pPr>
            <w:r>
              <w:rPr>
                <w:rFonts w:ascii="Arial" w:eastAsia="Arial" w:hAnsi="Arial" w:cs="Arial"/>
                <w:sz w:val="18"/>
                <w:szCs w:val="18"/>
              </w:rPr>
              <w:t>Implementación de Transferencias monetarias para hogares en condición de pobreza o vulnerabilidad en Bogotá D.C.</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548.388,60</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512.495,96</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702.960,13</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highlight w:val="red"/>
              </w:rPr>
            </w:pPr>
            <w:r>
              <w:rPr>
                <w:rFonts w:ascii="Arial" w:eastAsia="Arial" w:hAnsi="Arial" w:cs="Arial"/>
                <w:sz w:val="14"/>
                <w:szCs w:val="14"/>
                <w:highlight w:val="red"/>
              </w:rPr>
              <w:t xml:space="preserve"> $    617.829,28</w:t>
            </w:r>
          </w:p>
        </w:tc>
        <w:tc>
          <w:tcPr>
            <w:tcW w:w="1077"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w:t>
            </w:r>
            <w:r>
              <w:rPr>
                <w:rFonts w:ascii="Arial" w:eastAsia="Arial" w:hAnsi="Arial" w:cs="Arial"/>
                <w:sz w:val="14"/>
                <w:szCs w:val="14"/>
              </w:rPr>
              <w:tab/>
              <w:t>85.130,85</w:t>
            </w:r>
          </w:p>
        </w:tc>
      </w:tr>
      <w:tr w:rsidR="00743DA6">
        <w:trPr>
          <w:trHeight w:val="470"/>
        </w:trPr>
        <w:tc>
          <w:tcPr>
            <w:tcW w:w="3690" w:type="dxa"/>
            <w:tcBorders>
              <w:top w:val="single" w:sz="5" w:space="0" w:color="000000"/>
              <w:left w:val="single" w:sz="5" w:space="0" w:color="000000"/>
              <w:bottom w:val="single" w:sz="5" w:space="0" w:color="000000"/>
              <w:right w:val="single" w:sz="5" w:space="0" w:color="000000"/>
            </w:tcBorders>
            <w:shd w:val="clear" w:color="auto" w:fill="DDEBF7"/>
            <w:tcMar>
              <w:top w:w="-623" w:type="dxa"/>
              <w:left w:w="-623" w:type="dxa"/>
              <w:bottom w:w="-623" w:type="dxa"/>
              <w:right w:w="-623" w:type="dxa"/>
            </w:tcMar>
            <w:vAlign w:val="center"/>
          </w:tcPr>
          <w:p w:rsidR="00743DA6" w:rsidRDefault="00743DA6">
            <w:pPr>
              <w:rPr>
                <w:rFonts w:ascii="Arial" w:eastAsia="Arial" w:hAnsi="Arial" w:cs="Arial"/>
                <w:sz w:val="18"/>
                <w:szCs w:val="18"/>
              </w:rPr>
            </w:pPr>
          </w:p>
          <w:p w:rsidR="00743DA6" w:rsidRDefault="00D95D19">
            <w:pPr>
              <w:rPr>
                <w:rFonts w:ascii="Arial" w:eastAsia="Arial" w:hAnsi="Arial" w:cs="Arial"/>
                <w:sz w:val="18"/>
                <w:szCs w:val="18"/>
              </w:rPr>
            </w:pPr>
            <w:r>
              <w:rPr>
                <w:rFonts w:ascii="Arial" w:eastAsia="Arial" w:hAnsi="Arial" w:cs="Arial"/>
                <w:sz w:val="18"/>
                <w:szCs w:val="18"/>
              </w:rPr>
              <w:t>Total general</w:t>
            </w:r>
          </w:p>
        </w:tc>
        <w:tc>
          <w:tcPr>
            <w:tcW w:w="1077" w:type="dxa"/>
            <w:tcBorders>
              <w:top w:val="single" w:sz="5" w:space="0" w:color="000000"/>
              <w:left w:val="single" w:sz="5" w:space="0" w:color="000000"/>
              <w:bottom w:val="single" w:sz="5" w:space="0" w:color="000000"/>
              <w:right w:val="single" w:sz="5" w:space="0" w:color="000000"/>
            </w:tcBorders>
            <w:shd w:val="clear" w:color="auto" w:fill="DDEBF7"/>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1.850.420,42</w:t>
            </w:r>
          </w:p>
        </w:tc>
        <w:tc>
          <w:tcPr>
            <w:tcW w:w="1077" w:type="dxa"/>
            <w:tcBorders>
              <w:top w:val="single" w:sz="5" w:space="0" w:color="000000"/>
              <w:left w:val="single" w:sz="5" w:space="0" w:color="000000"/>
              <w:bottom w:val="single" w:sz="5" w:space="0" w:color="000000"/>
              <w:right w:val="single" w:sz="5" w:space="0" w:color="000000"/>
            </w:tcBorders>
            <w:shd w:val="clear" w:color="auto" w:fill="DDEBF7"/>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$ 1.303.508,00</w:t>
            </w:r>
          </w:p>
        </w:tc>
        <w:tc>
          <w:tcPr>
            <w:tcW w:w="1077" w:type="dxa"/>
            <w:tcBorders>
              <w:top w:val="single" w:sz="5" w:space="0" w:color="000000"/>
              <w:left w:val="single" w:sz="5" w:space="0" w:color="000000"/>
              <w:bottom w:val="single" w:sz="5" w:space="0" w:color="000000"/>
              <w:right w:val="single" w:sz="5" w:space="0" w:color="000000"/>
            </w:tcBorders>
            <w:shd w:val="clear" w:color="auto" w:fill="DDEBF7"/>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$ 2.375.766,40</w:t>
            </w:r>
          </w:p>
        </w:tc>
        <w:tc>
          <w:tcPr>
            <w:tcW w:w="1077" w:type="dxa"/>
            <w:tcBorders>
              <w:top w:val="single" w:sz="5" w:space="0" w:color="000000"/>
              <w:left w:val="single" w:sz="5" w:space="0" w:color="000000"/>
              <w:bottom w:val="single" w:sz="5" w:space="0" w:color="000000"/>
              <w:right w:val="single" w:sz="5" w:space="0" w:color="000000"/>
            </w:tcBorders>
            <w:shd w:val="clear" w:color="auto" w:fill="DDEBF7"/>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$ 2.454.592,06</w:t>
            </w:r>
          </w:p>
        </w:tc>
        <w:tc>
          <w:tcPr>
            <w:tcW w:w="1077" w:type="dxa"/>
            <w:tcBorders>
              <w:top w:val="single" w:sz="5" w:space="0" w:color="000000"/>
              <w:left w:val="single" w:sz="5" w:space="0" w:color="000000"/>
              <w:bottom w:val="single" w:sz="5" w:space="0" w:color="000000"/>
              <w:right w:val="single" w:sz="5" w:space="0" w:color="000000"/>
            </w:tcBorders>
            <w:shd w:val="clear" w:color="auto" w:fill="DDEBF7"/>
            <w:tcMar>
              <w:top w:w="-510" w:type="dxa"/>
              <w:left w:w="-510" w:type="dxa"/>
              <w:bottom w:w="-510" w:type="dxa"/>
              <w:right w:w="-510" w:type="dxa"/>
            </w:tcMar>
            <w:vAlign w:val="center"/>
          </w:tcPr>
          <w:p w:rsidR="00743DA6" w:rsidRDefault="00D95D19">
            <w:pPr>
              <w:rPr>
                <w:rFonts w:ascii="Arial" w:eastAsia="Arial" w:hAnsi="Arial" w:cs="Arial"/>
                <w:sz w:val="14"/>
                <w:szCs w:val="14"/>
              </w:rPr>
            </w:pPr>
            <w:r>
              <w:rPr>
                <w:rFonts w:ascii="Arial" w:eastAsia="Arial" w:hAnsi="Arial" w:cs="Arial"/>
                <w:sz w:val="14"/>
                <w:szCs w:val="14"/>
              </w:rPr>
              <w:t xml:space="preserve"> $             78.825,66</w:t>
            </w:r>
          </w:p>
        </w:tc>
      </w:tr>
    </w:tbl>
    <w:p w:rsidR="00743DA6" w:rsidRDefault="00D95D19">
      <w:pPr>
        <w:spacing w:before="240" w:after="240" w:line="259" w:lineRule="auto"/>
        <w:jc w:val="both"/>
        <w:rPr>
          <w:b/>
          <w:bCs/>
          <w:sz w:val="22"/>
          <w:szCs w:val="22"/>
        </w:rPr>
      </w:pPr>
      <w:r>
        <w:rPr>
          <w:sz w:val="20"/>
          <w:szCs w:val="20"/>
        </w:rPr>
        <w:t>Fuente: Elaboración propia (2025) con base en la matriz comparativa de la SDH (2025)</w:t>
      </w:r>
    </w:p>
    <w:p w:rsidR="00743DA6" w:rsidRDefault="00D95D19">
      <w:pPr>
        <w:spacing w:before="240" w:after="240" w:line="259" w:lineRule="auto"/>
        <w:jc w:val="both"/>
        <w:rPr>
          <w:b/>
          <w:bCs/>
          <w:sz w:val="22"/>
          <w:szCs w:val="22"/>
        </w:rPr>
      </w:pPr>
      <w:r>
        <w:rPr>
          <w:b/>
          <w:bCs/>
          <w:sz w:val="22"/>
          <w:szCs w:val="22"/>
        </w:rPr>
        <w:t>Hallazgos Clave (Nivel Programático):</w:t>
      </w:r>
    </w:p>
    <w:p w:rsidR="00743DA6" w:rsidRDefault="00D95D19">
      <w:pPr>
        <w:numPr>
          <w:ilvl w:val="0"/>
          <w:numId w:val="58"/>
        </w:numPr>
        <w:spacing w:line="259" w:lineRule="auto"/>
        <w:jc w:val="both"/>
        <w:rPr>
          <w:sz w:val="22"/>
          <w:szCs w:val="22"/>
        </w:rPr>
      </w:pPr>
      <w:r>
        <w:rPr>
          <w:sz w:val="22"/>
          <w:szCs w:val="22"/>
        </w:rPr>
        <w:t xml:space="preserve">A pesar de una leve reducción, las Transferencias Monetarias absorben 1 de cada 4 pesos del presupuesto de inversión de la SDIS en 2026. Sin embargo, son los jóvenes quienes se van a ver más afectados con la reducción a este proyecto de inversión. </w:t>
      </w:r>
    </w:p>
    <w:p w:rsidR="00743DA6" w:rsidRDefault="00D95D19">
      <w:pPr>
        <w:numPr>
          <w:ilvl w:val="0"/>
          <w:numId w:val="58"/>
        </w:numPr>
        <w:spacing w:line="259" w:lineRule="auto"/>
        <w:jc w:val="both"/>
        <w:rPr>
          <w:sz w:val="22"/>
          <w:szCs w:val="22"/>
        </w:rPr>
      </w:pPr>
      <w:r>
        <w:rPr>
          <w:sz w:val="22"/>
          <w:szCs w:val="22"/>
        </w:rPr>
        <w:t>El Fortalecimiento de la Gestión Pública se consolida como el segundo programa más grande, superando incluso a la Primera Infancia. Junto con la explosión del 293% en Gestión del Conocimiento, esto señala una clara priorización del fortalecimiento de la capacidad interna ("la máquina") sobre la inversión directa en infraestructura social y territorial, pues aún no es claro el convenio que refiere la entidad tener con la ETB, por 120 mil millones de pesos para conexión social.</w:t>
      </w:r>
    </w:p>
    <w:p w:rsidR="00743DA6" w:rsidRDefault="00D95D19">
      <w:pPr>
        <w:numPr>
          <w:ilvl w:val="0"/>
          <w:numId w:val="58"/>
        </w:numPr>
        <w:spacing w:line="259" w:lineRule="auto"/>
        <w:jc w:val="both"/>
        <w:rPr>
          <w:sz w:val="22"/>
          <w:szCs w:val="22"/>
        </w:rPr>
      </w:pPr>
      <w:r>
        <w:rPr>
          <w:sz w:val="22"/>
          <w:szCs w:val="22"/>
        </w:rPr>
        <w:t xml:space="preserve">Programas fundamentales para la garantía de derechos como la infraestructura social (-14,6%),  la habitabilidad en calle  (-10,2%) siendo una prioridad para el distrito luego del censo que realiza que revela un 10% más de habitantes de calle que en el último censo, así también la actividad  de atender 7000 Persona(s) en exclusión social, pobreza, vulnerabilidad y/o fragilidad social que habitan en residencias tipo pagadiarios, a través de la implementación de la estrategia territorial definida tiene una reducción  de $ 391,30286. </w:t>
      </w:r>
    </w:p>
    <w:p w:rsidR="00743DA6" w:rsidRDefault="00D95D19">
      <w:pPr>
        <w:numPr>
          <w:ilvl w:val="0"/>
          <w:numId w:val="58"/>
        </w:numPr>
        <w:spacing w:line="259" w:lineRule="auto"/>
        <w:jc w:val="both"/>
        <w:rPr>
          <w:sz w:val="22"/>
          <w:szCs w:val="22"/>
        </w:rPr>
      </w:pPr>
      <w:r>
        <w:rPr>
          <w:sz w:val="22"/>
          <w:szCs w:val="22"/>
        </w:rPr>
        <w:t xml:space="preserve">Tras una drástica reducción en 2025, el Fortalecimiento de Comisarías de Familia recibe un aumento del 20% para 2026. No obstante, partiendo de una base tan baja ($8.109 millones), este incremento resulta insuficiente para contrarrestar el abandono previo, especialmente en un contexto de crecientes violencias de género, tampoco supera los presupuestos designados en los periodos 2023 (16,221,008,000)´y 2024 (15,111,731,000). Por lo que no está claro, el estado del traslado y un balance del plan de fortalecimiento. </w:t>
      </w:r>
    </w:p>
    <w:p w:rsidR="00743DA6" w:rsidRDefault="00D95D19">
      <w:pPr>
        <w:numPr>
          <w:ilvl w:val="0"/>
          <w:numId w:val="58"/>
        </w:numPr>
        <w:spacing w:after="240" w:line="259" w:lineRule="auto"/>
        <w:jc w:val="both"/>
        <w:rPr>
          <w:sz w:val="22"/>
          <w:szCs w:val="22"/>
        </w:rPr>
      </w:pPr>
      <w:r>
        <w:rPr>
          <w:sz w:val="22"/>
          <w:szCs w:val="22"/>
        </w:rPr>
        <w:t>En el componente de Juventud se evidencia una reducción presupuestal que compromete directamente la continuidad y el alcance de actividades estratégicas para esta población. La disminución de $764.424.715 en las Casas de Juventud implica una menor capacidad institucional para ofrecer espacios seguros. De igual manera, la Ruta de Inclusión Social y Productiva presenta una reducción de $1.106.830.740, situación que podría afectar los procesos de formación, empleabilidad y fortalecimiento de iniciativas productivas juveniles</w:t>
      </w:r>
    </w:p>
    <w:p w:rsidR="00743DA6" w:rsidRDefault="00D95D19">
      <w:pPr>
        <w:spacing w:before="240" w:after="240" w:line="259" w:lineRule="auto"/>
        <w:jc w:val="both"/>
        <w:rPr>
          <w:sz w:val="22"/>
          <w:szCs w:val="22"/>
        </w:rPr>
      </w:pPr>
      <w:r>
        <w:rPr>
          <w:sz w:val="22"/>
          <w:szCs w:val="22"/>
        </w:rPr>
        <w:t>Una mirada a las metas específicas de los programas bandera revela inconsistencias operativas y estratégicas profundas.</w:t>
      </w:r>
    </w:p>
    <w:p w:rsidR="00743DA6" w:rsidRDefault="00D95D19">
      <w:pPr>
        <w:spacing w:before="240" w:after="240" w:line="259" w:lineRule="auto"/>
        <w:jc w:val="both"/>
        <w:rPr>
          <w:b/>
          <w:bCs/>
          <w:sz w:val="22"/>
          <w:szCs w:val="22"/>
        </w:rPr>
      </w:pPr>
      <w:r>
        <w:rPr>
          <w:b/>
          <w:bCs/>
          <w:sz w:val="22"/>
          <w:szCs w:val="22"/>
        </w:rPr>
        <w:t>A. Metas del Programa Ingreso Mínimo Garantizado (IMG) (Cifras en Millones de $)</w:t>
      </w:r>
    </w:p>
    <w:p w:rsidR="00743DA6" w:rsidRDefault="00D95D19">
      <w:pPr>
        <w:spacing w:before="240" w:after="240" w:line="259" w:lineRule="auto"/>
        <w:jc w:val="center"/>
        <w:rPr>
          <w:sz w:val="22"/>
          <w:szCs w:val="22"/>
        </w:rPr>
      </w:pPr>
      <w:r>
        <w:rPr>
          <w:b/>
          <w:bCs/>
          <w:sz w:val="22"/>
          <w:szCs w:val="22"/>
        </w:rPr>
        <w:t>Tabla No. 46</w:t>
      </w:r>
      <w:r>
        <w:rPr>
          <w:sz w:val="22"/>
          <w:szCs w:val="22"/>
        </w:rPr>
        <w:t>. Programa Ingreso Mínimo Garantizado comparativo 2025- 2026</w:t>
      </w:r>
    </w:p>
    <w:sdt>
      <w:sdtPr>
        <w:rPr>
          <w:rFonts w:ascii="Arial" w:eastAsia="Arial" w:hAnsi="Arial" w:cs="Arial"/>
          <w:sz w:val="24"/>
          <w:szCs w:val="24"/>
          <w:lang w:val="es" w:eastAsia="es-CO"/>
        </w:rPr>
        <w:tag w:val="goog_rdk_896"/>
        <w:id w:val="199825543"/>
        <w:lock w:val="contentLocked"/>
      </w:sdtPr>
      <w:sdtEndPr/>
      <w:sdtContent>
        <w:tbl>
          <w:tblPr>
            <w:tblStyle w:val="afffffff8"/>
            <w:tblpPr w:leftFromText="180" w:rightFromText="180" w:topFromText="180" w:bottomFromText="180" w:vertAnchor="text" w:tblpX="1539"/>
            <w:tblW w:w="5820" w:type="dxa"/>
            <w:tblBorders>
              <w:top w:val="nil"/>
              <w:left w:val="nil"/>
              <w:bottom w:val="nil"/>
              <w:right w:val="nil"/>
              <w:insideH w:val="nil"/>
              <w:insideV w:val="nil"/>
            </w:tblBorders>
            <w:tblLayout w:type="fixed"/>
            <w:tblLook w:val="0600" w:firstRow="0" w:lastRow="0" w:firstColumn="0" w:lastColumn="0" w:noHBand="1" w:noVBand="1"/>
          </w:tblPr>
          <w:tblGrid>
            <w:gridCol w:w="2145"/>
            <w:gridCol w:w="1245"/>
            <w:gridCol w:w="1185"/>
            <w:gridCol w:w="1245"/>
          </w:tblGrid>
          <w:tr w:rsidR="00743DA6">
            <w:trPr>
              <w:trHeight w:val="360"/>
            </w:trPr>
            <w:tc>
              <w:tcPr>
                <w:tcW w:w="21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after="160" w:line="256" w:lineRule="auto"/>
                  <w:jc w:val="center"/>
                  <w:rPr>
                    <w:rFonts w:ascii="Arial" w:eastAsia="Arial" w:hAnsi="Arial" w:cs="Arial"/>
                    <w:sz w:val="16"/>
                    <w:szCs w:val="16"/>
                  </w:rPr>
                </w:pPr>
                <w:r>
                  <w:rPr>
                    <w:rFonts w:ascii="Arial" w:eastAsia="Arial" w:hAnsi="Arial" w:cs="Arial"/>
                    <w:sz w:val="16"/>
                    <w:szCs w:val="16"/>
                  </w:rPr>
                  <w:t>Meta Específica</w:t>
                </w:r>
              </w:p>
            </w:tc>
            <w:tc>
              <w:tcPr>
                <w:tcW w:w="12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after="160" w:line="256" w:lineRule="auto"/>
                  <w:jc w:val="center"/>
                  <w:rPr>
                    <w:rFonts w:ascii="Arial" w:eastAsia="Arial" w:hAnsi="Arial" w:cs="Arial"/>
                    <w:sz w:val="16"/>
                    <w:szCs w:val="16"/>
                  </w:rPr>
                </w:pPr>
                <w:r>
                  <w:rPr>
                    <w:rFonts w:ascii="Arial" w:eastAsia="Arial" w:hAnsi="Arial" w:cs="Arial"/>
                    <w:sz w:val="16"/>
                    <w:szCs w:val="16"/>
                  </w:rPr>
                  <w:t>Programado 2025</w:t>
                </w:r>
              </w:p>
            </w:tc>
            <w:tc>
              <w:tcPr>
                <w:tcW w:w="118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after="160" w:line="256" w:lineRule="auto"/>
                  <w:jc w:val="center"/>
                  <w:rPr>
                    <w:rFonts w:ascii="Arial" w:eastAsia="Arial" w:hAnsi="Arial" w:cs="Arial"/>
                    <w:sz w:val="16"/>
                    <w:szCs w:val="16"/>
                  </w:rPr>
                </w:pPr>
                <w:r>
                  <w:rPr>
                    <w:rFonts w:ascii="Arial" w:eastAsia="Arial" w:hAnsi="Arial" w:cs="Arial"/>
                    <w:sz w:val="16"/>
                    <w:szCs w:val="16"/>
                  </w:rPr>
                  <w:t>Programado 2026</w:t>
                </w:r>
              </w:p>
            </w:tc>
            <w:tc>
              <w:tcPr>
                <w:tcW w:w="12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after="160" w:line="256" w:lineRule="auto"/>
                  <w:jc w:val="center"/>
                  <w:rPr>
                    <w:rFonts w:ascii="Arial" w:eastAsia="Arial" w:hAnsi="Arial" w:cs="Arial"/>
                    <w:sz w:val="16"/>
                    <w:szCs w:val="16"/>
                  </w:rPr>
                </w:pPr>
                <w:r>
                  <w:rPr>
                    <w:rFonts w:ascii="Arial" w:eastAsia="Arial" w:hAnsi="Arial" w:cs="Arial"/>
                    <w:sz w:val="16"/>
                    <w:szCs w:val="16"/>
                  </w:rPr>
                  <w:t xml:space="preserve">Brecha </w:t>
                </w:r>
              </w:p>
            </w:tc>
          </w:tr>
          <w:tr w:rsidR="00743DA6">
            <w:trPr>
              <w:trHeight w:val="555"/>
            </w:trPr>
            <w:tc>
              <w:tcPr>
                <w:tcW w:w="21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Transferencias a grupos poblacionales</w:t>
                </w:r>
              </w:p>
            </w:tc>
            <w:tc>
              <w:tcPr>
                <w:tcW w:w="12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642.361</w:t>
                </w:r>
              </w:p>
            </w:tc>
            <w:tc>
              <w:tcPr>
                <w:tcW w:w="118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591.943</w:t>
                </w:r>
              </w:p>
            </w:tc>
            <w:tc>
              <w:tcPr>
                <w:tcW w:w="12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-50.418</w:t>
                </w:r>
              </w:p>
            </w:tc>
          </w:tr>
          <w:tr w:rsidR="00743DA6">
            <w:trPr>
              <w:trHeight w:val="555"/>
            </w:trPr>
            <w:tc>
              <w:tcPr>
                <w:tcW w:w="21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Transferencias a Jóvenes</w:t>
                </w:r>
              </w:p>
            </w:tc>
            <w:tc>
              <w:tcPr>
                <w:tcW w:w="12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51.728</w:t>
                </w:r>
              </w:p>
            </w:tc>
            <w:tc>
              <w:tcPr>
                <w:tcW w:w="118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20.349</w:t>
                </w:r>
              </w:p>
            </w:tc>
            <w:tc>
              <w:tcPr>
                <w:tcW w:w="12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-31.379</w:t>
                </w:r>
              </w:p>
            </w:tc>
          </w:tr>
          <w:tr w:rsidR="00743DA6">
            <w:trPr>
              <w:trHeight w:val="750"/>
            </w:trPr>
            <w:tc>
              <w:tcPr>
                <w:tcW w:w="21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Canales de acceso a la información</w:t>
                </w:r>
              </w:p>
            </w:tc>
            <w:tc>
              <w:tcPr>
                <w:tcW w:w="12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7.456</w:t>
                </w:r>
              </w:p>
            </w:tc>
            <w:tc>
              <w:tcPr>
                <w:tcW w:w="118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4.708</w:t>
                </w:r>
              </w:p>
            </w:tc>
            <w:tc>
              <w:tcPr>
                <w:tcW w:w="12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-2.748</w:t>
                </w:r>
              </w:p>
            </w:tc>
          </w:tr>
          <w:tr w:rsidR="00743DA6">
            <w:trPr>
              <w:trHeight w:val="555"/>
            </w:trPr>
            <w:tc>
              <w:tcPr>
                <w:tcW w:w="21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Estudios de seguimiento e impacto</w:t>
                </w:r>
              </w:p>
            </w:tc>
            <w:tc>
              <w:tcPr>
                <w:tcW w:w="12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1.415</w:t>
                </w:r>
              </w:p>
            </w:tc>
            <w:tc>
              <w:tcPr>
                <w:tcW w:w="118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829</w:t>
                </w:r>
              </w:p>
            </w:tc>
            <w:tc>
              <w:tcPr>
                <w:tcW w:w="1245" w:type="dxa"/>
                <w:tcBorders>
                  <w:top w:val="single" w:sz="5" w:space="0" w:color="000000"/>
                  <w:left w:val="single" w:sz="5" w:space="0" w:color="000000"/>
                  <w:bottom w:val="single" w:sz="5" w:space="0" w:color="000000"/>
                  <w:right w:val="single" w:sz="5" w:space="0" w:color="000000"/>
                </w:tcBorders>
                <w:tcMar>
                  <w:top w:w="0" w:type="dxa"/>
                  <w:bottom w:w="0" w:type="dxa"/>
                </w:tcMar>
              </w:tcPr>
              <w:p w:rsidR="00743DA6" w:rsidRDefault="00D95D19">
                <w:pPr>
                  <w:spacing w:before="240" w:after="160" w:line="256" w:lineRule="auto"/>
                  <w:jc w:val="center"/>
                  <w:rPr>
                    <w:rFonts w:ascii="Arial" w:eastAsia="Arial" w:hAnsi="Arial" w:cs="Arial"/>
                    <w:sz w:val="16"/>
                    <w:szCs w:val="16"/>
                  </w:rPr>
                </w:pPr>
                <w:r>
                  <w:rPr>
                    <w:rFonts w:ascii="Arial" w:eastAsia="Arial" w:hAnsi="Arial" w:cs="Arial"/>
                    <w:sz w:val="16"/>
                    <w:szCs w:val="16"/>
                  </w:rPr>
                  <w:t>-586</w:t>
                </w:r>
              </w:p>
            </w:tc>
          </w:tr>
        </w:tbl>
      </w:sdtContent>
    </w:sdt>
    <w:p w:rsidR="00743DA6" w:rsidRDefault="00743DA6">
      <w:pPr>
        <w:spacing w:before="240" w:after="240" w:line="259" w:lineRule="auto"/>
        <w:rPr>
          <w:sz w:val="22"/>
          <w:szCs w:val="22"/>
        </w:rPr>
      </w:pPr>
    </w:p>
    <w:p w:rsidR="00743DA6" w:rsidRDefault="00743DA6">
      <w:pPr>
        <w:spacing w:before="240" w:after="240" w:line="259" w:lineRule="auto"/>
        <w:jc w:val="center"/>
        <w:rPr>
          <w:sz w:val="20"/>
          <w:szCs w:val="20"/>
        </w:rPr>
      </w:pPr>
    </w:p>
    <w:p w:rsidR="00743DA6" w:rsidRDefault="00743DA6">
      <w:pPr>
        <w:spacing w:before="240" w:after="240" w:line="259" w:lineRule="auto"/>
        <w:jc w:val="center"/>
        <w:rPr>
          <w:sz w:val="20"/>
          <w:szCs w:val="20"/>
        </w:rPr>
      </w:pPr>
    </w:p>
    <w:p w:rsidR="00743DA6" w:rsidRDefault="00743DA6">
      <w:pPr>
        <w:spacing w:before="240" w:after="240" w:line="259" w:lineRule="auto"/>
        <w:rPr>
          <w:sz w:val="20"/>
          <w:szCs w:val="20"/>
        </w:rPr>
      </w:pPr>
    </w:p>
    <w:p w:rsidR="00743DA6" w:rsidRDefault="00743DA6">
      <w:pPr>
        <w:spacing w:before="240" w:after="240" w:line="259" w:lineRule="auto"/>
        <w:rPr>
          <w:sz w:val="20"/>
          <w:szCs w:val="20"/>
        </w:rPr>
      </w:pPr>
    </w:p>
    <w:p w:rsidR="00743DA6" w:rsidRDefault="00743DA6">
      <w:pPr>
        <w:spacing w:before="240" w:after="240" w:line="259" w:lineRule="auto"/>
        <w:rPr>
          <w:sz w:val="20"/>
          <w:szCs w:val="20"/>
        </w:rPr>
      </w:pPr>
    </w:p>
    <w:p w:rsidR="00743DA6" w:rsidRDefault="00D95D19">
      <w:pPr>
        <w:spacing w:before="240" w:after="240" w:line="259" w:lineRule="auto"/>
        <w:rPr>
          <w:sz w:val="18"/>
          <w:szCs w:val="18"/>
        </w:rPr>
      </w:pPr>
      <w:r>
        <w:rPr>
          <w:sz w:val="18"/>
          <w:szCs w:val="18"/>
        </w:rPr>
        <w:t>Fuente: Elaboración propia (2025) con base en la matriz comparativa de la SDH (2025)</w:t>
      </w:r>
    </w:p>
    <w:p w:rsidR="00743DA6" w:rsidRDefault="00D95D19">
      <w:pPr>
        <w:spacing w:before="240" w:after="240" w:line="259" w:lineRule="auto"/>
        <w:jc w:val="both"/>
        <w:rPr>
          <w:sz w:val="22"/>
          <w:szCs w:val="22"/>
        </w:rPr>
      </w:pPr>
      <w:r>
        <w:rPr>
          <w:sz w:val="22"/>
          <w:szCs w:val="22"/>
        </w:rPr>
        <w:t>Hallazgos Clave (Metas IMG):</w:t>
      </w:r>
    </w:p>
    <w:p w:rsidR="00743DA6" w:rsidRDefault="00D95D19">
      <w:pPr>
        <w:numPr>
          <w:ilvl w:val="0"/>
          <w:numId w:val="20"/>
        </w:numPr>
        <w:shd w:val="clear" w:color="auto" w:fill="FFFFFF"/>
        <w:spacing w:before="240" w:after="240" w:line="259" w:lineRule="auto"/>
        <w:jc w:val="both"/>
        <w:rPr>
          <w:sz w:val="22"/>
          <w:szCs w:val="22"/>
        </w:rPr>
      </w:pPr>
      <w:r>
        <w:rPr>
          <w:color w:val="0F1115"/>
          <w:sz w:val="22"/>
          <w:szCs w:val="22"/>
        </w:rPr>
        <w:t>La promesa de un futuro mejor para los jóvenes de Bogotá se está desvaneciendo. Los números fríos lo confirman: mientras el DANE reporta que casi una cuarta parte de la ciudad vive en pobreza monetaria y que el 3.5% de los jóvenes sufre pobreza multidimensional, la respuesta institucional da un paso atrás.</w:t>
      </w:r>
    </w:p>
    <w:p w:rsidR="00743DA6" w:rsidRDefault="00D95D19">
      <w:pPr>
        <w:shd w:val="clear" w:color="auto" w:fill="FFFFFF"/>
        <w:spacing w:before="240" w:after="240" w:line="259" w:lineRule="auto"/>
        <w:ind w:left="720"/>
        <w:jc w:val="both"/>
        <w:rPr>
          <w:color w:val="0F1115"/>
          <w:sz w:val="22"/>
          <w:szCs w:val="22"/>
        </w:rPr>
      </w:pPr>
      <w:r>
        <w:rPr>
          <w:color w:val="0F1115"/>
          <w:sz w:val="22"/>
          <w:szCs w:val="22"/>
        </w:rPr>
        <w:t>La historia que cuentan las cifras es clara: el Ingreso Mínimo Garantizado para jóvenes sufre un recorte del 60%, y proyectos clave de inclusión social ven reducidas sus metas. Es como construir una casa y, justo cuando más habitantes necesitan refugio, decidir quitarle pilares fundamentales.</w:t>
      </w:r>
    </w:p>
    <w:p w:rsidR="00743DA6" w:rsidRDefault="00D95D19">
      <w:pPr>
        <w:shd w:val="clear" w:color="auto" w:fill="FFFFFF"/>
        <w:spacing w:before="240" w:after="240" w:line="259" w:lineRule="auto"/>
        <w:ind w:left="720"/>
        <w:jc w:val="both"/>
        <w:rPr>
          <w:sz w:val="22"/>
          <w:szCs w:val="22"/>
        </w:rPr>
      </w:pPr>
      <w:r>
        <w:rPr>
          <w:color w:val="0F1115"/>
          <w:sz w:val="22"/>
          <w:szCs w:val="22"/>
        </w:rPr>
        <w:t>El relato oficial prometió beneficiar a 40,000 jóvenes con transferencias monetarias, pero en los hechos, la meta se redujo a 31,000. Entre el discurso y la realidad hay 9,000 jóvenes que quedaron fuera, 9,000 historias de movilidad social truncadas. Esta no es solo una estadística; es el reflejo de una ciudad que, en momentos de necesidad, recorta las oportunidades de quienes más las necesitan.</w:t>
      </w:r>
    </w:p>
    <w:p w:rsidR="00743DA6" w:rsidRDefault="00D95D19">
      <w:pPr>
        <w:spacing w:after="240" w:line="259" w:lineRule="auto"/>
        <w:ind w:left="720"/>
        <w:jc w:val="both"/>
        <w:rPr>
          <w:sz w:val="22"/>
          <w:szCs w:val="22"/>
        </w:rPr>
      </w:pPr>
      <w:r>
        <w:rPr>
          <w:sz w:val="22"/>
          <w:szCs w:val="22"/>
        </w:rPr>
        <w:t xml:space="preserve">Es relevante lo anterior, </w:t>
      </w:r>
    </w:p>
    <w:p w:rsidR="00743DA6" w:rsidRDefault="00D95D19">
      <w:pPr>
        <w:numPr>
          <w:ilvl w:val="0"/>
          <w:numId w:val="20"/>
        </w:numPr>
        <w:spacing w:after="240" w:line="259" w:lineRule="auto"/>
        <w:jc w:val="both"/>
        <w:rPr>
          <w:sz w:val="22"/>
          <w:szCs w:val="22"/>
        </w:rPr>
      </w:pPr>
      <w:r>
        <w:rPr>
          <w:sz w:val="22"/>
          <w:szCs w:val="22"/>
        </w:rPr>
        <w:t>Las reducciones en canales de información y estudios de impacto sugieren una estrategia deliberada de debilitar la transparencia y evadir la evaluación de resultados, impidiendo saber si el programa genera movilidad social o dependencia.</w:t>
      </w:r>
    </w:p>
    <w:p w:rsidR="00743DA6" w:rsidRDefault="00D95D19">
      <w:pPr>
        <w:spacing w:before="240" w:after="240" w:line="259" w:lineRule="auto"/>
        <w:jc w:val="both"/>
        <w:rPr>
          <w:b/>
          <w:bCs/>
          <w:sz w:val="22"/>
          <w:szCs w:val="22"/>
        </w:rPr>
      </w:pPr>
      <w:r>
        <w:rPr>
          <w:b/>
          <w:bCs/>
          <w:sz w:val="22"/>
          <w:szCs w:val="22"/>
        </w:rPr>
        <w:t>B. Metas del Programa de Habitabilidad en Calle (Cifras en Millones de $)</w:t>
      </w:r>
    </w:p>
    <w:p w:rsidR="00743DA6" w:rsidRDefault="00D95D19">
      <w:pPr>
        <w:spacing w:before="240" w:after="240" w:line="259" w:lineRule="auto"/>
        <w:jc w:val="center"/>
        <w:rPr>
          <w:sz w:val="22"/>
          <w:szCs w:val="22"/>
        </w:rPr>
      </w:pPr>
      <w:r>
        <w:rPr>
          <w:b/>
          <w:bCs/>
          <w:sz w:val="22"/>
          <w:szCs w:val="22"/>
        </w:rPr>
        <w:t>Tabla No. 47</w:t>
      </w:r>
      <w:r>
        <w:rPr>
          <w:sz w:val="22"/>
          <w:szCs w:val="22"/>
        </w:rPr>
        <w:t>. Programa Metas del Programa de Habitabilidad en Calle 2025-2026</w:t>
      </w:r>
    </w:p>
    <w:tbl>
      <w:tblPr>
        <w:tblStyle w:val="afffffff9"/>
        <w:tblW w:w="8838" w:type="dxa"/>
        <w:tblBorders>
          <w:top w:val="nil"/>
          <w:left w:val="nil"/>
          <w:bottom w:val="nil"/>
          <w:right w:val="nil"/>
          <w:insideH w:val="nil"/>
          <w:insideV w:val="nil"/>
        </w:tblBorders>
        <w:tblLayout w:type="fixed"/>
        <w:tblLook w:val="0600" w:firstRow="0" w:lastRow="0" w:firstColumn="0" w:lastColumn="0" w:noHBand="1" w:noVBand="1"/>
      </w:tblPr>
      <w:tblGrid>
        <w:gridCol w:w="2704"/>
        <w:gridCol w:w="1150"/>
        <w:gridCol w:w="1298"/>
        <w:gridCol w:w="1089"/>
        <w:gridCol w:w="1149"/>
        <w:gridCol w:w="1448"/>
      </w:tblGrid>
      <w:tr w:rsidR="00743DA6">
        <w:trPr>
          <w:trHeight w:val="555"/>
        </w:trPr>
        <w:tc>
          <w:tcPr>
            <w:tcW w:w="2702"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Meta Específica</w:t>
            </w:r>
          </w:p>
        </w:tc>
        <w:tc>
          <w:tcPr>
            <w:tcW w:w="1149"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pacing w:after="160" w:line="256" w:lineRule="auto"/>
              <w:jc w:val="center"/>
              <w:rPr>
                <w:rFonts w:ascii="Arial" w:eastAsia="Arial" w:hAnsi="Arial" w:cs="Arial"/>
                <w:sz w:val="20"/>
                <w:szCs w:val="20"/>
              </w:rPr>
            </w:pPr>
            <w:r>
              <w:rPr>
                <w:rFonts w:ascii="Arial" w:eastAsia="Arial" w:hAnsi="Arial" w:cs="Arial"/>
                <w:sz w:val="20"/>
                <w:szCs w:val="20"/>
              </w:rPr>
              <w:t>Programado 2025</w:t>
            </w:r>
          </w:p>
        </w:tc>
        <w:tc>
          <w:tcPr>
            <w:tcW w:w="1298"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GIROS 2025</w:t>
            </w:r>
          </w:p>
        </w:tc>
        <w:tc>
          <w:tcPr>
            <w:tcW w:w="1089"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 Ejecución</w:t>
            </w:r>
          </w:p>
        </w:tc>
        <w:tc>
          <w:tcPr>
            <w:tcW w:w="1149"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pacing w:after="160" w:line="256" w:lineRule="auto"/>
              <w:jc w:val="center"/>
              <w:rPr>
                <w:rFonts w:ascii="Arial" w:eastAsia="Arial" w:hAnsi="Arial" w:cs="Arial"/>
                <w:sz w:val="20"/>
                <w:szCs w:val="20"/>
              </w:rPr>
            </w:pPr>
            <w:r>
              <w:rPr>
                <w:rFonts w:ascii="Arial" w:eastAsia="Arial" w:hAnsi="Arial" w:cs="Arial"/>
                <w:sz w:val="20"/>
                <w:szCs w:val="20"/>
              </w:rPr>
              <w:t>Programado 2026</w:t>
            </w:r>
          </w:p>
        </w:tc>
        <w:tc>
          <w:tcPr>
            <w:tcW w:w="1448"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Brecha (2026-2025)</w:t>
            </w:r>
          </w:p>
        </w:tc>
      </w:tr>
      <w:tr w:rsidR="00743DA6">
        <w:trPr>
          <w:trHeight w:val="360"/>
        </w:trPr>
        <w:tc>
          <w:tcPr>
            <w:tcW w:w="270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Atención a 28,000 ciudadanos</w:t>
            </w:r>
          </w:p>
        </w:tc>
        <w:tc>
          <w:tcPr>
            <w:tcW w:w="114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83.383</w:t>
            </w:r>
          </w:p>
        </w:tc>
        <w:tc>
          <w:tcPr>
            <w:tcW w:w="1298"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37.173</w:t>
            </w:r>
          </w:p>
        </w:tc>
        <w:tc>
          <w:tcPr>
            <w:tcW w:w="108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44,6%</w:t>
            </w:r>
          </w:p>
        </w:tc>
        <w:tc>
          <w:tcPr>
            <w:tcW w:w="114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81.309</w:t>
            </w:r>
          </w:p>
        </w:tc>
        <w:tc>
          <w:tcPr>
            <w:tcW w:w="1448"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-2.074</w:t>
            </w:r>
          </w:p>
        </w:tc>
      </w:tr>
      <w:tr w:rsidR="00743DA6">
        <w:trPr>
          <w:trHeight w:val="555"/>
        </w:trPr>
        <w:tc>
          <w:tcPr>
            <w:tcW w:w="270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Vincular a 1,500 personas a prevención</w:t>
            </w:r>
          </w:p>
        </w:tc>
        <w:tc>
          <w:tcPr>
            <w:tcW w:w="114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5.301</w:t>
            </w:r>
          </w:p>
        </w:tc>
        <w:tc>
          <w:tcPr>
            <w:tcW w:w="1298"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2.522</w:t>
            </w:r>
          </w:p>
        </w:tc>
        <w:tc>
          <w:tcPr>
            <w:tcW w:w="108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47,6%</w:t>
            </w:r>
          </w:p>
        </w:tc>
        <w:tc>
          <w:tcPr>
            <w:tcW w:w="114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2.729</w:t>
            </w:r>
          </w:p>
        </w:tc>
        <w:tc>
          <w:tcPr>
            <w:tcW w:w="1448"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-2.572</w:t>
            </w:r>
          </w:p>
        </w:tc>
      </w:tr>
      <w:tr w:rsidR="00743DA6">
        <w:trPr>
          <w:trHeight w:val="555"/>
        </w:trPr>
        <w:tc>
          <w:tcPr>
            <w:tcW w:w="270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Implementar 1 estrategia de prevención</w:t>
            </w:r>
          </w:p>
        </w:tc>
        <w:tc>
          <w:tcPr>
            <w:tcW w:w="114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4.177</w:t>
            </w:r>
          </w:p>
        </w:tc>
        <w:tc>
          <w:tcPr>
            <w:tcW w:w="1298"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2.081</w:t>
            </w:r>
          </w:p>
        </w:tc>
        <w:tc>
          <w:tcPr>
            <w:tcW w:w="108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49,8%</w:t>
            </w:r>
          </w:p>
        </w:tc>
        <w:tc>
          <w:tcPr>
            <w:tcW w:w="114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1.897</w:t>
            </w:r>
          </w:p>
        </w:tc>
        <w:tc>
          <w:tcPr>
            <w:tcW w:w="1448"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-2.279</w:t>
            </w:r>
          </w:p>
        </w:tc>
      </w:tr>
      <w:tr w:rsidR="00743DA6">
        <w:trPr>
          <w:trHeight w:val="555"/>
        </w:trPr>
        <w:tc>
          <w:tcPr>
            <w:tcW w:w="2702"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Creación de 1 estrategia de conocimiento</w:t>
            </w:r>
          </w:p>
        </w:tc>
        <w:tc>
          <w:tcPr>
            <w:tcW w:w="114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4.746</w:t>
            </w:r>
          </w:p>
        </w:tc>
        <w:tc>
          <w:tcPr>
            <w:tcW w:w="1298"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2.037</w:t>
            </w:r>
          </w:p>
        </w:tc>
        <w:tc>
          <w:tcPr>
            <w:tcW w:w="108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42,9%</w:t>
            </w:r>
          </w:p>
        </w:tc>
        <w:tc>
          <w:tcPr>
            <w:tcW w:w="1149"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1.669</w:t>
            </w:r>
          </w:p>
        </w:tc>
        <w:tc>
          <w:tcPr>
            <w:tcW w:w="1448"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20"/>
                <w:szCs w:val="20"/>
              </w:rPr>
            </w:pPr>
            <w:r>
              <w:rPr>
                <w:rFonts w:ascii="Arial" w:eastAsia="Arial" w:hAnsi="Arial" w:cs="Arial"/>
                <w:sz w:val="20"/>
                <w:szCs w:val="20"/>
              </w:rPr>
              <w:t>-3.077</w:t>
            </w:r>
          </w:p>
        </w:tc>
      </w:tr>
    </w:tbl>
    <w:p w:rsidR="00743DA6" w:rsidRDefault="00D95D19">
      <w:pPr>
        <w:spacing w:before="240" w:after="240" w:line="259" w:lineRule="auto"/>
        <w:rPr>
          <w:sz w:val="20"/>
          <w:szCs w:val="20"/>
        </w:rPr>
      </w:pPr>
      <w:r>
        <w:rPr>
          <w:sz w:val="18"/>
          <w:szCs w:val="18"/>
        </w:rPr>
        <w:t>Fuente: Elaboración propia (2025) con base en la matriz comparativa de la SDH (2025)</w:t>
      </w:r>
    </w:p>
    <w:p w:rsidR="00743DA6" w:rsidRDefault="00D95D19">
      <w:pPr>
        <w:spacing w:before="240" w:after="240" w:line="259" w:lineRule="auto"/>
        <w:jc w:val="both"/>
        <w:rPr>
          <w:b/>
          <w:bCs/>
          <w:sz w:val="22"/>
          <w:szCs w:val="22"/>
        </w:rPr>
      </w:pPr>
      <w:r>
        <w:rPr>
          <w:b/>
          <w:bCs/>
          <w:sz w:val="22"/>
          <w:szCs w:val="22"/>
        </w:rPr>
        <w:t>Hallazgos Clave (Metas Habitabilidad en Calle):</w:t>
      </w:r>
    </w:p>
    <w:p w:rsidR="00743DA6" w:rsidRDefault="00D95D19">
      <w:pPr>
        <w:numPr>
          <w:ilvl w:val="0"/>
          <w:numId w:val="38"/>
        </w:numPr>
        <w:spacing w:line="259" w:lineRule="auto"/>
        <w:jc w:val="both"/>
        <w:rPr>
          <w:sz w:val="22"/>
          <w:szCs w:val="22"/>
        </w:rPr>
      </w:pPr>
      <w:r>
        <w:rPr>
          <w:sz w:val="22"/>
          <w:szCs w:val="22"/>
        </w:rPr>
        <w:t xml:space="preserve">Subejecución Crónica y Reducción Presupuestal: Se combina una baja ejecución (promedio de 46%) en 2025 con recortes presupuestarios generalizados para 2026 en todas las metas. </w:t>
      </w:r>
    </w:p>
    <w:p w:rsidR="00743DA6" w:rsidRDefault="00D95D19">
      <w:pPr>
        <w:numPr>
          <w:ilvl w:val="0"/>
          <w:numId w:val="38"/>
        </w:numPr>
        <w:spacing w:line="259" w:lineRule="auto"/>
        <w:jc w:val="both"/>
        <w:rPr>
          <w:sz w:val="22"/>
          <w:szCs w:val="22"/>
        </w:rPr>
      </w:pPr>
      <w:r>
        <w:rPr>
          <w:sz w:val="22"/>
          <w:szCs w:val="22"/>
        </w:rPr>
        <w:t>Atención Directa Comprometida: Aunque la reducción para la atención directa a 28,000 personas es menor (-2.5%), partía de una subejecución del 55.4%. Esto indica una posible renuncia tácita a la meta de cobertura o una optimización poco creíble.</w:t>
      </w:r>
    </w:p>
    <w:p w:rsidR="00743DA6" w:rsidRDefault="00D95D19">
      <w:pPr>
        <w:numPr>
          <w:ilvl w:val="0"/>
          <w:numId w:val="38"/>
        </w:numPr>
        <w:spacing w:after="240" w:line="259" w:lineRule="auto"/>
        <w:jc w:val="both"/>
        <w:rPr>
          <w:sz w:val="22"/>
          <w:szCs w:val="22"/>
        </w:rPr>
      </w:pPr>
      <w:r>
        <w:rPr>
          <w:sz w:val="22"/>
          <w:szCs w:val="22"/>
        </w:rPr>
        <w:t>Abandono de la Prevención: Las metas de prevención y vinculación sufren recortes superiores al 40%, lo que sugiere un enfoque reactivo (atención en crisis) sobre uno preventivo, perpetuando el fenómeno en lugar de atacar sus causas.</w:t>
      </w:r>
    </w:p>
    <w:p w:rsidR="00743DA6" w:rsidRDefault="00D95D19">
      <w:pPr>
        <w:spacing w:after="240" w:line="259" w:lineRule="auto"/>
        <w:jc w:val="both"/>
        <w:rPr>
          <w:b/>
          <w:bCs/>
          <w:sz w:val="22"/>
          <w:szCs w:val="22"/>
        </w:rPr>
      </w:pPr>
      <w:r>
        <w:rPr>
          <w:b/>
          <w:bCs/>
          <w:sz w:val="22"/>
          <w:szCs w:val="22"/>
        </w:rPr>
        <w:t>c. Meta Implementación de estrategias de inclusión social y productiva para la población joven en situación de pobreza y vulnerabilidad en Bogotá D.C.</w:t>
      </w:r>
    </w:p>
    <w:p w:rsidR="00743DA6" w:rsidRDefault="00D95D19">
      <w:pPr>
        <w:spacing w:after="240" w:line="259" w:lineRule="auto"/>
        <w:jc w:val="center"/>
        <w:rPr>
          <w:sz w:val="22"/>
          <w:szCs w:val="22"/>
        </w:rPr>
      </w:pPr>
      <w:r>
        <w:rPr>
          <w:b/>
          <w:bCs/>
          <w:sz w:val="22"/>
          <w:szCs w:val="22"/>
        </w:rPr>
        <w:t>Tabla No. 48</w:t>
      </w:r>
      <w:r>
        <w:rPr>
          <w:sz w:val="22"/>
          <w:szCs w:val="22"/>
        </w:rPr>
        <w:t>. Proyecto de inversión Implementación de estrategias de inclusión social y productiva para la población joven en situación de pobreza y vulnerabilidad en Bogotá D.C. 2025- 2026</w:t>
      </w:r>
    </w:p>
    <w:tbl>
      <w:tblPr>
        <w:tblStyle w:val="afffffffa"/>
        <w:tblW w:w="8850" w:type="dxa"/>
        <w:tblBorders>
          <w:top w:val="nil"/>
          <w:left w:val="nil"/>
          <w:bottom w:val="nil"/>
          <w:right w:val="nil"/>
          <w:insideH w:val="nil"/>
          <w:insideV w:val="nil"/>
        </w:tblBorders>
        <w:tblLayout w:type="fixed"/>
        <w:tblLook w:val="0600" w:firstRow="0" w:lastRow="0" w:firstColumn="0" w:lastColumn="0" w:noHBand="1" w:noVBand="1"/>
      </w:tblPr>
      <w:tblGrid>
        <w:gridCol w:w="2565"/>
        <w:gridCol w:w="1140"/>
        <w:gridCol w:w="1035"/>
        <w:gridCol w:w="1110"/>
        <w:gridCol w:w="3000"/>
      </w:tblGrid>
      <w:tr w:rsidR="00743DA6">
        <w:trPr>
          <w:trHeight w:val="660"/>
        </w:trPr>
        <w:tc>
          <w:tcPr>
            <w:tcW w:w="2565" w:type="dxa"/>
            <w:tcBorders>
              <w:top w:val="single" w:sz="5" w:space="0" w:color="000000"/>
              <w:left w:val="single" w:sz="5" w:space="0" w:color="000000"/>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Actividad</w:t>
            </w:r>
          </w:p>
        </w:tc>
        <w:tc>
          <w:tcPr>
            <w:tcW w:w="1140"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2025 PROG</w:t>
            </w:r>
          </w:p>
        </w:tc>
        <w:tc>
          <w:tcPr>
            <w:tcW w:w="1035"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2026 PROG</w:t>
            </w:r>
          </w:p>
        </w:tc>
        <w:tc>
          <w:tcPr>
            <w:tcW w:w="1110"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Diferencia</w:t>
            </w:r>
          </w:p>
        </w:tc>
        <w:tc>
          <w:tcPr>
            <w:tcW w:w="3000"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Análisis</w:t>
            </w:r>
          </w:p>
        </w:tc>
      </w:tr>
      <w:tr w:rsidR="00743DA6">
        <w:trPr>
          <w:trHeight w:val="990"/>
        </w:trPr>
        <w:tc>
          <w:tcPr>
            <w:tcW w:w="2565" w:type="dxa"/>
            <w:tcBorders>
              <w:top w:val="nil"/>
              <w:left w:val="single" w:sz="5" w:space="0" w:color="000000"/>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Implementar 1 Estrategia integral para atención de 20,000 jóvenes en Sistema Distrital de Cuidado</w:t>
            </w:r>
          </w:p>
        </w:tc>
        <w:tc>
          <w:tcPr>
            <w:tcW w:w="11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$427</w:t>
            </w:r>
          </w:p>
        </w:tc>
        <w:tc>
          <w:tcPr>
            <w:tcW w:w="103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$481</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+$54</w:t>
            </w:r>
          </w:p>
        </w:tc>
        <w:tc>
          <w:tcPr>
            <w:tcW w:w="3000" w:type="dxa"/>
            <w:tcBorders>
              <w:top w:val="nil"/>
              <w:left w:val="nil"/>
              <w:bottom w:val="single" w:sz="5" w:space="0" w:color="000000"/>
              <w:right w:val="single" w:sz="5" w:space="0" w:color="000000"/>
            </w:tcBorders>
            <w:tcMar>
              <w:top w:w="160" w:type="dxa"/>
              <w:left w:w="240" w:type="dxa"/>
              <w:bottom w:w="160" w:type="dxa"/>
              <w:right w:w="0" w:type="dxa"/>
            </w:tcMar>
          </w:tcPr>
          <w:p w:rsidR="00743DA6" w:rsidRDefault="00D95D19">
            <w:pPr>
              <w:rPr>
                <w:rFonts w:ascii="Arial" w:eastAsia="Arial" w:hAnsi="Arial" w:cs="Arial"/>
                <w:sz w:val="18"/>
                <w:szCs w:val="18"/>
              </w:rPr>
            </w:pPr>
            <w:r>
              <w:rPr>
                <w:rFonts w:ascii="Arial" w:eastAsia="Arial" w:hAnsi="Arial" w:cs="Arial"/>
                <w:sz w:val="18"/>
                <w:szCs w:val="18"/>
              </w:rPr>
              <w:t>Crecimiento significativo. Indica priorización del Sistema de Cuidado como política distrital.</w:t>
            </w:r>
          </w:p>
        </w:tc>
      </w:tr>
      <w:tr w:rsidR="00743DA6">
        <w:trPr>
          <w:trHeight w:val="825"/>
        </w:trPr>
        <w:tc>
          <w:tcPr>
            <w:tcW w:w="2565" w:type="dxa"/>
            <w:tcBorders>
              <w:top w:val="nil"/>
              <w:left w:val="single" w:sz="5" w:space="0" w:color="000000"/>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Atender 100% de adolescentes y jóvenes del SRPA con Servicio Forjar Restaurativo</w:t>
            </w:r>
          </w:p>
        </w:tc>
        <w:tc>
          <w:tcPr>
            <w:tcW w:w="11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$2,529</w:t>
            </w:r>
          </w:p>
        </w:tc>
        <w:tc>
          <w:tcPr>
            <w:tcW w:w="103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$3,052</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+$524</w:t>
            </w:r>
          </w:p>
        </w:tc>
        <w:tc>
          <w:tcPr>
            <w:tcW w:w="3000" w:type="dxa"/>
            <w:tcBorders>
              <w:top w:val="nil"/>
              <w:left w:val="nil"/>
              <w:bottom w:val="single" w:sz="5" w:space="0" w:color="000000"/>
              <w:right w:val="single" w:sz="5" w:space="0" w:color="000000"/>
            </w:tcBorders>
            <w:tcMar>
              <w:top w:w="160" w:type="dxa"/>
              <w:left w:w="240" w:type="dxa"/>
              <w:bottom w:w="160" w:type="dxa"/>
              <w:right w:w="0" w:type="dxa"/>
            </w:tcMar>
          </w:tcPr>
          <w:p w:rsidR="00743DA6" w:rsidRDefault="00D95D19">
            <w:pPr>
              <w:rPr>
                <w:rFonts w:ascii="Arial" w:eastAsia="Arial" w:hAnsi="Arial" w:cs="Arial"/>
                <w:sz w:val="18"/>
                <w:szCs w:val="18"/>
              </w:rPr>
            </w:pPr>
            <w:r>
              <w:rPr>
                <w:rFonts w:ascii="Arial" w:eastAsia="Arial" w:hAnsi="Arial" w:cs="Arial"/>
                <w:sz w:val="18"/>
                <w:szCs w:val="18"/>
              </w:rPr>
              <w:t>Mayor crecimiento absoluto. Refleja enfoque en justicia restaurativa y posible aumento de casos.</w:t>
            </w:r>
          </w:p>
        </w:tc>
      </w:tr>
      <w:tr w:rsidR="00743DA6">
        <w:trPr>
          <w:trHeight w:val="825"/>
        </w:trPr>
        <w:tc>
          <w:tcPr>
            <w:tcW w:w="2565" w:type="dxa"/>
            <w:tcBorders>
              <w:top w:val="nil"/>
              <w:left w:val="single" w:sz="5" w:space="0" w:color="000000"/>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Atender a 25,000 jóvenes en derechos sexuales y reproductivos</w:t>
            </w:r>
          </w:p>
        </w:tc>
        <w:tc>
          <w:tcPr>
            <w:tcW w:w="11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$643</w:t>
            </w:r>
          </w:p>
        </w:tc>
        <w:tc>
          <w:tcPr>
            <w:tcW w:w="103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$651</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+$7</w:t>
            </w:r>
          </w:p>
        </w:tc>
        <w:tc>
          <w:tcPr>
            <w:tcW w:w="3000" w:type="dxa"/>
            <w:tcBorders>
              <w:top w:val="nil"/>
              <w:left w:val="nil"/>
              <w:bottom w:val="single" w:sz="5" w:space="0" w:color="000000"/>
              <w:right w:val="single" w:sz="5" w:space="0" w:color="000000"/>
            </w:tcBorders>
            <w:tcMar>
              <w:top w:w="160" w:type="dxa"/>
              <w:left w:w="240" w:type="dxa"/>
              <w:bottom w:w="160" w:type="dxa"/>
              <w:right w:w="0" w:type="dxa"/>
            </w:tcMar>
          </w:tcPr>
          <w:p w:rsidR="00743DA6" w:rsidRDefault="00D95D19">
            <w:pPr>
              <w:rPr>
                <w:rFonts w:ascii="Arial" w:eastAsia="Arial" w:hAnsi="Arial" w:cs="Arial"/>
                <w:sz w:val="18"/>
                <w:szCs w:val="18"/>
              </w:rPr>
            </w:pPr>
            <w:r>
              <w:rPr>
                <w:rFonts w:ascii="Arial" w:eastAsia="Arial" w:hAnsi="Arial" w:cs="Arial"/>
                <w:sz w:val="18"/>
                <w:szCs w:val="18"/>
              </w:rPr>
              <w:t>Estabilidad presupuestal. Mantiene atención con ajuste mínimo por inflación.</w:t>
            </w:r>
          </w:p>
        </w:tc>
      </w:tr>
      <w:tr w:rsidR="00743DA6">
        <w:trPr>
          <w:trHeight w:val="660"/>
        </w:trPr>
        <w:tc>
          <w:tcPr>
            <w:tcW w:w="2565" w:type="dxa"/>
            <w:tcBorders>
              <w:top w:val="nil"/>
              <w:left w:val="single" w:sz="5" w:space="0" w:color="000000"/>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Crear 4 Casas físicas y/o itinerantes</w:t>
            </w:r>
          </w:p>
        </w:tc>
        <w:tc>
          <w:tcPr>
            <w:tcW w:w="11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$1,128</w:t>
            </w:r>
          </w:p>
        </w:tc>
        <w:tc>
          <w:tcPr>
            <w:tcW w:w="103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$364</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-$764</w:t>
            </w:r>
          </w:p>
        </w:tc>
        <w:tc>
          <w:tcPr>
            <w:tcW w:w="3000" w:type="dxa"/>
            <w:tcBorders>
              <w:top w:val="nil"/>
              <w:left w:val="nil"/>
              <w:bottom w:val="single" w:sz="5" w:space="0" w:color="000000"/>
              <w:right w:val="single" w:sz="5" w:space="0" w:color="000000"/>
            </w:tcBorders>
            <w:tcMar>
              <w:top w:w="160" w:type="dxa"/>
              <w:left w:w="240" w:type="dxa"/>
              <w:bottom w:w="160" w:type="dxa"/>
              <w:right w:w="0" w:type="dxa"/>
            </w:tcMar>
          </w:tcPr>
          <w:p w:rsidR="00743DA6" w:rsidRDefault="00D95D19">
            <w:pPr>
              <w:rPr>
                <w:rFonts w:ascii="Arial" w:eastAsia="Arial" w:hAnsi="Arial" w:cs="Arial"/>
                <w:sz w:val="18"/>
                <w:szCs w:val="18"/>
              </w:rPr>
            </w:pPr>
            <w:r>
              <w:rPr>
                <w:rFonts w:ascii="Arial" w:eastAsia="Arial" w:hAnsi="Arial" w:cs="Arial"/>
                <w:sz w:val="18"/>
                <w:szCs w:val="18"/>
              </w:rPr>
              <w:t>Recorte más drástico. Abandona proyecto de infraestructura física para la juventud.</w:t>
            </w:r>
          </w:p>
        </w:tc>
      </w:tr>
      <w:tr w:rsidR="00743DA6">
        <w:trPr>
          <w:trHeight w:val="825"/>
        </w:trPr>
        <w:tc>
          <w:tcPr>
            <w:tcW w:w="2565" w:type="dxa"/>
            <w:tcBorders>
              <w:top w:val="nil"/>
              <w:left w:val="single" w:sz="5" w:space="0" w:color="000000"/>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Implementar 1 Ruta de prevención integral a 25,000 jóvenes</w:t>
            </w:r>
          </w:p>
        </w:tc>
        <w:tc>
          <w:tcPr>
            <w:tcW w:w="11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$593</w:t>
            </w:r>
          </w:p>
        </w:tc>
        <w:tc>
          <w:tcPr>
            <w:tcW w:w="103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$401</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-$191</w:t>
            </w:r>
          </w:p>
        </w:tc>
        <w:tc>
          <w:tcPr>
            <w:tcW w:w="3000" w:type="dxa"/>
            <w:tcBorders>
              <w:top w:val="nil"/>
              <w:left w:val="nil"/>
              <w:bottom w:val="single" w:sz="5" w:space="0" w:color="000000"/>
              <w:right w:val="single" w:sz="5" w:space="0" w:color="000000"/>
            </w:tcBorders>
            <w:tcMar>
              <w:top w:w="160" w:type="dxa"/>
              <w:left w:w="240" w:type="dxa"/>
              <w:bottom w:w="160" w:type="dxa"/>
              <w:right w:w="0" w:type="dxa"/>
            </w:tcMar>
          </w:tcPr>
          <w:p w:rsidR="00743DA6" w:rsidRDefault="00D95D19">
            <w:pPr>
              <w:rPr>
                <w:rFonts w:ascii="Arial" w:eastAsia="Arial" w:hAnsi="Arial" w:cs="Arial"/>
                <w:sz w:val="18"/>
                <w:szCs w:val="18"/>
              </w:rPr>
            </w:pPr>
            <w:r>
              <w:rPr>
                <w:rFonts w:ascii="Arial" w:eastAsia="Arial" w:hAnsi="Arial" w:cs="Arial"/>
                <w:sz w:val="18"/>
                <w:szCs w:val="18"/>
              </w:rPr>
              <w:t>Recorte importante. Reduce capacidad de prevención en jóvenes en riesgo.</w:t>
            </w:r>
          </w:p>
        </w:tc>
      </w:tr>
      <w:tr w:rsidR="00743DA6">
        <w:trPr>
          <w:trHeight w:val="825"/>
        </w:trPr>
        <w:tc>
          <w:tcPr>
            <w:tcW w:w="2565" w:type="dxa"/>
            <w:tcBorders>
              <w:top w:val="nil"/>
              <w:left w:val="single" w:sz="5" w:space="0" w:color="000000"/>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Atender a 40,000 jóvenes para promoción de acceso a oportunidades</w:t>
            </w:r>
          </w:p>
        </w:tc>
        <w:tc>
          <w:tcPr>
            <w:tcW w:w="11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$5,717</w:t>
            </w:r>
          </w:p>
        </w:tc>
        <w:tc>
          <w:tcPr>
            <w:tcW w:w="103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$5,111</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-$606</w:t>
            </w:r>
          </w:p>
        </w:tc>
        <w:tc>
          <w:tcPr>
            <w:tcW w:w="3000" w:type="dxa"/>
            <w:tcBorders>
              <w:top w:val="nil"/>
              <w:left w:val="nil"/>
              <w:bottom w:val="single" w:sz="5" w:space="0" w:color="000000"/>
              <w:right w:val="single" w:sz="5" w:space="0" w:color="000000"/>
            </w:tcBorders>
            <w:tcMar>
              <w:top w:w="160" w:type="dxa"/>
              <w:left w:w="240" w:type="dxa"/>
              <w:bottom w:w="160" w:type="dxa"/>
              <w:right w:w="0" w:type="dxa"/>
            </w:tcMar>
          </w:tcPr>
          <w:p w:rsidR="00743DA6" w:rsidRDefault="00D95D19">
            <w:pPr>
              <w:rPr>
                <w:rFonts w:ascii="Arial" w:eastAsia="Arial" w:hAnsi="Arial" w:cs="Arial"/>
                <w:sz w:val="18"/>
                <w:szCs w:val="18"/>
              </w:rPr>
            </w:pPr>
            <w:r>
              <w:rPr>
                <w:rFonts w:ascii="Arial" w:eastAsia="Arial" w:hAnsi="Arial" w:cs="Arial"/>
                <w:sz w:val="18"/>
                <w:szCs w:val="18"/>
              </w:rPr>
              <w:t>Recorte moderado. Afecta promoción de oportunidades para gran volumen de jóvenes.</w:t>
            </w:r>
          </w:p>
        </w:tc>
      </w:tr>
      <w:tr w:rsidR="00743DA6">
        <w:trPr>
          <w:trHeight w:val="825"/>
        </w:trPr>
        <w:tc>
          <w:tcPr>
            <w:tcW w:w="2565" w:type="dxa"/>
            <w:tcBorders>
              <w:top w:val="nil"/>
              <w:left w:val="single" w:sz="5" w:space="0" w:color="000000"/>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Beneficiar a 40,000 jóvenes con ruta de inclusión social y productiva</w:t>
            </w:r>
          </w:p>
        </w:tc>
        <w:tc>
          <w:tcPr>
            <w:tcW w:w="11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$6,816</w:t>
            </w:r>
          </w:p>
        </w:tc>
        <w:tc>
          <w:tcPr>
            <w:tcW w:w="103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$5,709</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-$1,107</w:t>
            </w:r>
          </w:p>
        </w:tc>
        <w:tc>
          <w:tcPr>
            <w:tcW w:w="3000" w:type="dxa"/>
            <w:tcBorders>
              <w:top w:val="nil"/>
              <w:left w:val="nil"/>
              <w:bottom w:val="single" w:sz="5" w:space="0" w:color="000000"/>
              <w:right w:val="single" w:sz="5" w:space="0" w:color="000000"/>
            </w:tcBorders>
            <w:tcMar>
              <w:top w:w="160" w:type="dxa"/>
              <w:left w:w="240" w:type="dxa"/>
              <w:bottom w:w="160" w:type="dxa"/>
              <w:right w:w="0" w:type="dxa"/>
            </w:tcMar>
          </w:tcPr>
          <w:p w:rsidR="00743DA6" w:rsidRDefault="00D95D19">
            <w:pPr>
              <w:rPr>
                <w:rFonts w:ascii="Arial" w:eastAsia="Arial" w:hAnsi="Arial" w:cs="Arial"/>
                <w:sz w:val="18"/>
                <w:szCs w:val="18"/>
              </w:rPr>
            </w:pPr>
            <w:r>
              <w:rPr>
                <w:rFonts w:ascii="Arial" w:eastAsia="Arial" w:hAnsi="Arial" w:cs="Arial"/>
                <w:sz w:val="18"/>
                <w:szCs w:val="18"/>
              </w:rPr>
              <w:t>Mayor recorte absoluto. Impacta el programa bandera de inclusión productiva.</w:t>
            </w:r>
          </w:p>
        </w:tc>
      </w:tr>
    </w:tbl>
    <w:p w:rsidR="00743DA6" w:rsidRDefault="00D95D19">
      <w:pPr>
        <w:spacing w:before="240" w:after="240" w:line="259" w:lineRule="auto"/>
        <w:rPr>
          <w:sz w:val="22"/>
          <w:szCs w:val="22"/>
        </w:rPr>
      </w:pPr>
      <w:r>
        <w:rPr>
          <w:sz w:val="18"/>
          <w:szCs w:val="18"/>
        </w:rPr>
        <w:t>Fuente: Elaboración propia (2025) con base en la matriz comparativa de la SDH (2025)</w:t>
      </w:r>
    </w:p>
    <w:p w:rsidR="00743DA6" w:rsidRDefault="00D95D19">
      <w:pPr>
        <w:spacing w:before="240" w:after="240" w:line="259" w:lineRule="auto"/>
        <w:jc w:val="both"/>
        <w:rPr>
          <w:sz w:val="22"/>
          <w:szCs w:val="22"/>
        </w:rPr>
      </w:pPr>
      <w:r>
        <w:rPr>
          <w:sz w:val="22"/>
          <w:szCs w:val="22"/>
        </w:rPr>
        <w:t xml:space="preserve">El Proyecto para el componente de Juventud de la SDIS evidencia una línea de acción contradictoria: mientras el programa se formula bajo el principio de la </w:t>
      </w:r>
      <w:r>
        <w:rPr>
          <w:i/>
          <w:iCs/>
          <w:sz w:val="22"/>
          <w:szCs w:val="22"/>
        </w:rPr>
        <w:t>inclusión</w:t>
      </w:r>
      <w:r>
        <w:rPr>
          <w:sz w:val="22"/>
          <w:szCs w:val="22"/>
        </w:rPr>
        <w:t>, la reducción de recursos en sus componentes estructurales configura un escenario de exclusión programática. Lejos de consolidar la política social juvenil, la asignación presupuestal proyectada debilita de manera sustantiva la capacidad institucional del Distrito para atender a las y los jóvenes en mayor situación de vulnerabilidad.</w:t>
      </w:r>
    </w:p>
    <w:p w:rsidR="00743DA6" w:rsidRDefault="00D95D19">
      <w:pPr>
        <w:spacing w:before="280" w:after="80" w:line="259" w:lineRule="auto"/>
        <w:jc w:val="both"/>
        <w:rPr>
          <w:sz w:val="22"/>
          <w:szCs w:val="22"/>
        </w:rPr>
      </w:pPr>
      <w:r>
        <w:rPr>
          <w:sz w:val="22"/>
          <w:szCs w:val="22"/>
        </w:rPr>
        <w:t>Desfinanciación de la Inclusión Productiva: el Núcleo del Proyecto</w:t>
      </w:r>
    </w:p>
    <w:p w:rsidR="00743DA6" w:rsidRDefault="00D95D19">
      <w:pPr>
        <w:spacing w:before="240" w:after="240" w:line="259" w:lineRule="auto"/>
        <w:jc w:val="both"/>
        <w:rPr>
          <w:sz w:val="22"/>
          <w:szCs w:val="22"/>
        </w:rPr>
      </w:pPr>
      <w:r>
        <w:rPr>
          <w:sz w:val="22"/>
          <w:szCs w:val="22"/>
        </w:rPr>
        <w:t xml:space="preserve">La reducción de </w:t>
      </w:r>
      <w:r>
        <w:rPr>
          <w:b/>
          <w:bCs/>
          <w:sz w:val="22"/>
          <w:szCs w:val="22"/>
        </w:rPr>
        <w:t>$1.107 millones</w:t>
      </w:r>
      <w:r>
        <w:rPr>
          <w:sz w:val="22"/>
          <w:szCs w:val="22"/>
        </w:rPr>
        <w:t xml:space="preserve"> en la meta “Beneficiar a 40.000 jóvenes a través de una ruta de inclusión social y productiva” no constituye un ajuste marginal, sino una afectación estructural. Resulta técnicamente incoherente que el componente que define el propósito del proyecto sea el más impactado negativamente. Esta disminución vacía de contenido las metas trazadas y limita la posibilidad de transitar hacia procesos sostenidos de autonomía económica. Sin una financiación robusta para la inclusión productiva, el proyecto se reconfigura como una intervención de carácter asistencial, sin capacidad para modificar las causas estructurales de la pobreza juvenil. En términos programáticos y de resultados, se privilegia la atención de corto plazo, pero se reduce la inversión en estrategias que generan movilidad social y desaceleran ciclos de dependencia y vulnerabilidad.</w:t>
      </w:r>
    </w:p>
    <w:p w:rsidR="00743DA6" w:rsidRDefault="00D95D19">
      <w:pPr>
        <w:spacing w:before="280" w:after="80" w:line="259" w:lineRule="auto"/>
        <w:jc w:val="both"/>
        <w:rPr>
          <w:sz w:val="22"/>
          <w:szCs w:val="22"/>
        </w:rPr>
      </w:pPr>
      <w:r>
        <w:rPr>
          <w:sz w:val="22"/>
          <w:szCs w:val="22"/>
        </w:rPr>
        <w:t>Retroceso en la Territorialización de la Política Social</w:t>
      </w:r>
    </w:p>
    <w:p w:rsidR="00743DA6" w:rsidRDefault="00D95D19">
      <w:pPr>
        <w:spacing w:before="240" w:after="240" w:line="259" w:lineRule="auto"/>
        <w:jc w:val="both"/>
        <w:rPr>
          <w:sz w:val="22"/>
          <w:szCs w:val="22"/>
        </w:rPr>
      </w:pPr>
      <w:r>
        <w:rPr>
          <w:sz w:val="22"/>
          <w:szCs w:val="22"/>
        </w:rPr>
        <w:t xml:space="preserve">La disminución del </w:t>
      </w:r>
      <w:r>
        <w:rPr>
          <w:b/>
          <w:bCs/>
          <w:sz w:val="22"/>
          <w:szCs w:val="22"/>
        </w:rPr>
        <w:t>67,8%</w:t>
      </w:r>
      <w:r>
        <w:rPr>
          <w:sz w:val="22"/>
          <w:szCs w:val="22"/>
        </w:rPr>
        <w:t xml:space="preserve"> en la meta de “Crear 4 casas físicas y/o itinerantes” evidencia un retiro territorial de la oferta pública juvenil. Las Casas de Juventud constituyen infraestructura social estratégica para el acompañamiento psicosocial, la participación, la construcción de proyectos de vida y la prevención de riesgos en los barrios. Un recorte de esta magnitud no solo limita la creación de nuevos espacios, sino que reduce la capacidad institucional de presencia territorial continua. En términos de política social, esto implica desarticular la lógica comunitaria que sustenta cualquier proceso de inclusión sostenible y profundizar las brechas en los territorios con mayores índices de exclusión.</w:t>
      </w:r>
    </w:p>
    <w:p w:rsidR="00743DA6" w:rsidRDefault="00D95D19">
      <w:pPr>
        <w:spacing w:before="280" w:after="80" w:line="259" w:lineRule="auto"/>
        <w:jc w:val="both"/>
        <w:rPr>
          <w:sz w:val="22"/>
          <w:szCs w:val="22"/>
        </w:rPr>
      </w:pPr>
      <w:r>
        <w:rPr>
          <w:sz w:val="22"/>
          <w:szCs w:val="22"/>
        </w:rPr>
        <w:t>Debilitamiento de la Prevención: una Ineficiencia de Largo Plazo</w:t>
      </w:r>
    </w:p>
    <w:p w:rsidR="00743DA6" w:rsidRDefault="00D95D19">
      <w:pPr>
        <w:spacing w:before="240" w:after="240" w:line="259" w:lineRule="auto"/>
        <w:jc w:val="both"/>
        <w:rPr>
          <w:sz w:val="22"/>
          <w:szCs w:val="22"/>
        </w:rPr>
      </w:pPr>
      <w:r>
        <w:rPr>
          <w:sz w:val="22"/>
          <w:szCs w:val="22"/>
        </w:rPr>
        <w:t xml:space="preserve">La reducción del </w:t>
      </w:r>
      <w:r>
        <w:rPr>
          <w:b/>
          <w:bCs/>
          <w:sz w:val="22"/>
          <w:szCs w:val="22"/>
        </w:rPr>
        <w:t>32,3%</w:t>
      </w:r>
      <w:r>
        <w:rPr>
          <w:sz w:val="22"/>
          <w:szCs w:val="22"/>
        </w:rPr>
        <w:t xml:space="preserve"> en la “Ruta de prevención integral para 25.000 jóvenes” refleja una decisión que contradice principios básicos de eficiencia social y económica. La intervención preventiva es la modalidad más costo-efectiva en política pública, ya que evita la escalada hacia sistemas de atención más complejos, reactivos y onerosos (habitabilidad en calle, sistema penal juvenil, restablecimiento de derechos).</w:t>
      </w:r>
      <w:r>
        <w:rPr>
          <w:sz w:val="22"/>
          <w:szCs w:val="22"/>
        </w:rPr>
        <w:br/>
      </w:r>
    </w:p>
    <w:p w:rsidR="00743DA6" w:rsidRDefault="00D95D19">
      <w:pPr>
        <w:spacing w:before="240" w:after="240" w:line="259" w:lineRule="auto"/>
        <w:jc w:val="both"/>
        <w:rPr>
          <w:sz w:val="22"/>
          <w:szCs w:val="22"/>
        </w:rPr>
      </w:pPr>
      <w:r>
        <w:rPr>
          <w:sz w:val="22"/>
          <w:szCs w:val="22"/>
        </w:rPr>
        <w:t>Al desfinanciar la prevención, la SDIS adopta implícitamente un enfoque reactivo que incrementará la presión sobre sistemas de mayor costo fiscal y generará mayor severidad en las crisis humanas. En consecuencia, este recorte no puede leerse como un ahorro, sino como una decisión que aumenta los costos futuros del Estado.</w:t>
      </w:r>
    </w:p>
    <w:p w:rsidR="00743DA6" w:rsidRDefault="00D95D19">
      <w:pPr>
        <w:spacing w:before="280" w:after="80" w:line="259" w:lineRule="auto"/>
        <w:jc w:val="both"/>
        <w:rPr>
          <w:b/>
          <w:bCs/>
          <w:sz w:val="22"/>
          <w:szCs w:val="22"/>
        </w:rPr>
      </w:pPr>
      <w:r>
        <w:rPr>
          <w:b/>
          <w:bCs/>
          <w:sz w:val="22"/>
          <w:szCs w:val="22"/>
        </w:rPr>
        <w:t>Supuesta reorientación hacia Poblaciones Prioritarias</w:t>
      </w:r>
    </w:p>
    <w:p w:rsidR="00743DA6" w:rsidRDefault="00D95D19">
      <w:pPr>
        <w:spacing w:before="240" w:after="240" w:line="259" w:lineRule="auto"/>
        <w:jc w:val="both"/>
        <w:rPr>
          <w:sz w:val="22"/>
          <w:szCs w:val="22"/>
        </w:rPr>
      </w:pPr>
      <w:r>
        <w:rPr>
          <w:sz w:val="22"/>
          <w:szCs w:val="22"/>
        </w:rPr>
        <w:t xml:space="preserve">Si bien el incremento del </w:t>
      </w:r>
      <w:r>
        <w:rPr>
          <w:b/>
          <w:bCs/>
          <w:sz w:val="22"/>
          <w:szCs w:val="22"/>
        </w:rPr>
        <w:t>20,7%</w:t>
      </w:r>
      <w:r>
        <w:rPr>
          <w:sz w:val="22"/>
          <w:szCs w:val="22"/>
        </w:rPr>
        <w:t xml:space="preserve"> en el Servicio Forjar Restaurativo podría interpretarse como una priorización de jóvenes en conflicto con la ley, esta ampliación no puede justificarse a costa de desfinanciar estrategias masivas de inclusión productiva y prevención. Una reorientación estratégica sólida diversifica la inversión y fortalece los distintos eslabones de la cadena de atención. La redistribución observada fragmenta la política pública y reduce su integralidad, comprometiendo la capacidad del proyecto para generar impacto sostenido.</w:t>
      </w:r>
    </w:p>
    <w:p w:rsidR="00743DA6" w:rsidRDefault="00D95D19">
      <w:pPr>
        <w:spacing w:before="240" w:after="240" w:line="259" w:lineRule="auto"/>
        <w:jc w:val="both"/>
        <w:rPr>
          <w:sz w:val="22"/>
          <w:szCs w:val="22"/>
        </w:rPr>
      </w:pPr>
      <w:r>
        <w:rPr>
          <w:sz w:val="22"/>
          <w:szCs w:val="22"/>
        </w:rPr>
        <w:t>El presupuesto proyectado para 2026 en Juventud de la SDIS se aleja de su misión institucional de garantizar inclusión, autonomía y desarrollo integral para la población joven. El recorte de los componentes estructurales —inclusión productiva, territorialización y prevención— limita la implementación de una política social integral y compromete la capacidad del Distrito para cerrar brechas de desigualdad. Lo que se presenta como un ajuste presupuestal termina configurando una redefinición regresiva del enfoque de juventud, en la que la autonomía se vuelve prescindible, la presencia territorial opcional y la prevención un lujo. Frente a ello, resulta necesario exigir una asignación presupuestal acorde con los retos sociales de la ciudad: una inversión que priorice la inclusión productiva, fortalezca la infraestructura territorial y consolide una estrategia de prevención robusta que garantice el derecho de las juventudes a no ser excluidas.</w:t>
      </w:r>
    </w:p>
    <w:p w:rsidR="00743DA6" w:rsidRDefault="00D95D19">
      <w:pPr>
        <w:spacing w:before="240" w:line="259" w:lineRule="auto"/>
        <w:jc w:val="both"/>
        <w:rPr>
          <w:b/>
          <w:bCs/>
          <w:color w:val="0F1115"/>
          <w:sz w:val="22"/>
          <w:szCs w:val="22"/>
        </w:rPr>
      </w:pPr>
      <w:r>
        <w:rPr>
          <w:b/>
          <w:bCs/>
          <w:color w:val="0F1115"/>
          <w:sz w:val="22"/>
          <w:szCs w:val="22"/>
        </w:rPr>
        <w:t>Proyecto: "Generación de respuestas integradoras para la Inclusión social y productiva, y la prevención de todas las formas de violencia y discriminación en Bogotá D.C."</w:t>
      </w:r>
    </w:p>
    <w:p w:rsidR="00743DA6" w:rsidRDefault="00D95D19">
      <w:pPr>
        <w:spacing w:before="240" w:line="259" w:lineRule="auto"/>
        <w:jc w:val="center"/>
        <w:rPr>
          <w:color w:val="0F1115"/>
          <w:sz w:val="22"/>
          <w:szCs w:val="22"/>
        </w:rPr>
      </w:pPr>
      <w:r>
        <w:rPr>
          <w:b/>
          <w:bCs/>
          <w:color w:val="0F1115"/>
          <w:sz w:val="22"/>
          <w:szCs w:val="22"/>
        </w:rPr>
        <w:t>Tabla No. 49</w:t>
      </w:r>
      <w:r>
        <w:rPr>
          <w:color w:val="0F1115"/>
          <w:sz w:val="22"/>
          <w:szCs w:val="22"/>
        </w:rPr>
        <w:t xml:space="preserve">. </w:t>
      </w:r>
      <w:r>
        <w:rPr>
          <w:sz w:val="22"/>
          <w:szCs w:val="22"/>
        </w:rPr>
        <w:t xml:space="preserve">Proyecto de inversión </w:t>
      </w:r>
      <w:r>
        <w:rPr>
          <w:color w:val="0F1115"/>
          <w:sz w:val="22"/>
          <w:szCs w:val="22"/>
        </w:rPr>
        <w:t xml:space="preserve">Generación de respuestas integradoras para la Inclusión social y productiva, y la prevención de todas las formas de violencia y discriminación en Bogotá D.C </w:t>
      </w:r>
      <w:r>
        <w:rPr>
          <w:sz w:val="22"/>
          <w:szCs w:val="22"/>
        </w:rPr>
        <w:t>2025- 2026</w:t>
      </w:r>
    </w:p>
    <w:tbl>
      <w:tblPr>
        <w:tblStyle w:val="afffffffb"/>
        <w:tblW w:w="8955" w:type="dxa"/>
        <w:tblBorders>
          <w:top w:val="nil"/>
          <w:left w:val="nil"/>
          <w:bottom w:val="nil"/>
          <w:right w:val="nil"/>
          <w:insideH w:val="nil"/>
          <w:insideV w:val="nil"/>
        </w:tblBorders>
        <w:tblLayout w:type="fixed"/>
        <w:tblLook w:val="0600" w:firstRow="0" w:lastRow="0" w:firstColumn="0" w:lastColumn="0" w:noHBand="1" w:noVBand="1"/>
      </w:tblPr>
      <w:tblGrid>
        <w:gridCol w:w="2460"/>
        <w:gridCol w:w="1200"/>
        <w:gridCol w:w="1440"/>
        <w:gridCol w:w="1110"/>
        <w:gridCol w:w="2745"/>
      </w:tblGrid>
      <w:tr w:rsidR="00743DA6">
        <w:trPr>
          <w:trHeight w:val="495"/>
        </w:trPr>
        <w:tc>
          <w:tcPr>
            <w:tcW w:w="2460" w:type="dxa"/>
            <w:tcBorders>
              <w:top w:val="single" w:sz="5" w:space="0" w:color="000000"/>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pStyle w:val="Ttulo1"/>
              <w:outlineLvl w:val="0"/>
            </w:pPr>
            <w:bookmarkStart w:id="26" w:name="_heading=h.yjqg8wai7se7" w:colFirst="0" w:colLast="0"/>
            <w:bookmarkEnd w:id="26"/>
            <w:r>
              <w:rPr>
                <w:rFonts w:ascii="Arial" w:eastAsia="Arial" w:hAnsi="Arial" w:cs="Arial"/>
                <w:sz w:val="18"/>
                <w:szCs w:val="18"/>
              </w:rPr>
              <w:t>¡PON UN TITULO</w:t>
            </w:r>
          </w:p>
        </w:tc>
        <w:tc>
          <w:tcPr>
            <w:tcW w:w="1200"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Programado 2025</w:t>
            </w:r>
          </w:p>
        </w:tc>
        <w:tc>
          <w:tcPr>
            <w:tcW w:w="1440"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Programado 2026</w:t>
            </w:r>
          </w:p>
        </w:tc>
        <w:tc>
          <w:tcPr>
            <w:tcW w:w="1110"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Variación</w:t>
            </w:r>
          </w:p>
        </w:tc>
        <w:tc>
          <w:tcPr>
            <w:tcW w:w="2745"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w:t>
            </w:r>
          </w:p>
        </w:tc>
      </w:tr>
      <w:tr w:rsidR="00743DA6">
        <w:trPr>
          <w:trHeight w:val="578"/>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A. POBLACIÓN CON DISCAPACIDAD</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97.768</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97.592</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-176</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-0.2%</w:t>
            </w:r>
          </w:p>
        </w:tc>
      </w:tr>
      <w:tr w:rsidR="00743DA6">
        <w:trPr>
          <w:trHeight w:val="93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11 - Vincular a 10,000 personas con discapacidad</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89.671</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+756</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+0.9%</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Cobertura estable</w:t>
            </w:r>
          </w:p>
        </w:tc>
      </w:tr>
      <w:tr w:rsidR="00743DA6">
        <w:trPr>
          <w:trHeight w:val="443"/>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10 - Fortalecer modelo de inclusión</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3.369</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-1.084</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-24.3%</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Calidad del servicio en riesgo</w:t>
            </w:r>
          </w:p>
        </w:tc>
      </w:tr>
      <w:tr w:rsidR="00743DA6">
        <w:trPr>
          <w:trHeight w:val="72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9 - Desarrollar 15 planes de adaptación</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553</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+153</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+38.2%</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Fortalecimiento institucional</w:t>
            </w:r>
          </w:p>
        </w:tc>
      </w:tr>
      <w:tr w:rsidR="00743DA6">
        <w:trPr>
          <w:trHeight w:val="51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B. POBLACIÓN LGBTI</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5.539</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6.134</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+595</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+10.7%</w:t>
            </w:r>
          </w:p>
        </w:tc>
      </w:tr>
      <w:tr w:rsidR="00743DA6">
        <w:trPr>
          <w:trHeight w:val="65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4 - Implementar 2 Planes para nuevas Casas LGBTI</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451</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+451</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743DA6">
            <w:pPr>
              <w:rPr>
                <w:rFonts w:ascii="Arial" w:eastAsia="Arial" w:hAnsi="Arial" w:cs="Arial"/>
                <w:sz w:val="18"/>
                <w:szCs w:val="18"/>
              </w:rPr>
            </w:pP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Inversión en infraestructura</w:t>
            </w:r>
          </w:p>
        </w:tc>
      </w:tr>
      <w:tr w:rsidR="00743DA6">
        <w:trPr>
          <w:trHeight w:val="72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3 - Brindar 66,667 atenciones</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3.679</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+31</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+0.8%</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Servicios directos estables</w:t>
            </w:r>
          </w:p>
        </w:tc>
      </w:tr>
      <w:tr w:rsidR="00743DA6">
        <w:trPr>
          <w:trHeight w:val="72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2 - Fortalecer modelo para personas LGBTI</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1.471</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+18</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+1.2%</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Mejora continua</w:t>
            </w:r>
          </w:p>
        </w:tc>
      </w:tr>
      <w:tr w:rsidR="00743DA6">
        <w:trPr>
          <w:trHeight w:val="72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1 - Desarrollar 10 planes con enfoque OSIGD</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332</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+100</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+43.1%</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Enfoque diferencial</w:t>
            </w:r>
          </w:p>
        </w:tc>
      </w:tr>
      <w:tr w:rsidR="00743DA6">
        <w:trPr>
          <w:trHeight w:val="72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5 - Corrección documento identidad trans</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192</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-14</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-6.8%</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 xml:space="preserve"> Derecho a la identidad</w:t>
            </w:r>
          </w:p>
        </w:tc>
      </w:tr>
      <w:tr w:rsidR="00743DA6">
        <w:trPr>
          <w:trHeight w:val="72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C. PREVENCIÓN Y PROTECCIÓN</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13.468</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11.247</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-2.221</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-16.5%</w:t>
            </w:r>
          </w:p>
        </w:tc>
      </w:tr>
      <w:tr w:rsidR="00743DA6">
        <w:trPr>
          <w:trHeight w:val="72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7 - Gestión plan prevención de violencias</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737</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-1.512</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-67.2%</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Desmantelamiento crítico</w:t>
            </w:r>
          </w:p>
        </w:tc>
      </w:tr>
      <w:tr w:rsidR="00743DA6">
        <w:trPr>
          <w:trHeight w:val="93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6 - Atención integral a niñez con medida de ubicación</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6.923</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-612</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-8.1%</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 xml:space="preserve"> Protección infantil debilitada</w:t>
            </w:r>
          </w:p>
        </w:tc>
      </w:tr>
      <w:tr w:rsidR="00743DA6">
        <w:trPr>
          <w:trHeight w:val="720"/>
        </w:trPr>
        <w:tc>
          <w:tcPr>
            <w:tcW w:w="2460"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8 - Implementar Modelo Atención a Familias</w:t>
            </w:r>
          </w:p>
        </w:tc>
        <w:tc>
          <w:tcPr>
            <w:tcW w:w="120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3.588</w:t>
            </w:r>
          </w:p>
        </w:tc>
        <w:tc>
          <w:tcPr>
            <w:tcW w:w="144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-101</w:t>
            </w:r>
          </w:p>
        </w:tc>
        <w:tc>
          <w:tcPr>
            <w:tcW w:w="1110"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-2.7%</w:t>
            </w:r>
          </w:p>
        </w:tc>
        <w:tc>
          <w:tcPr>
            <w:tcW w:w="2745"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rPr>
                <w:rFonts w:ascii="Arial" w:eastAsia="Arial" w:hAnsi="Arial" w:cs="Arial"/>
                <w:sz w:val="18"/>
                <w:szCs w:val="18"/>
              </w:rPr>
            </w:pPr>
            <w:r>
              <w:rPr>
                <w:rFonts w:ascii="Arial" w:eastAsia="Arial" w:hAnsi="Arial" w:cs="Arial"/>
                <w:sz w:val="18"/>
                <w:szCs w:val="18"/>
              </w:rPr>
              <w:t>Soporte familiar reducido</w:t>
            </w:r>
          </w:p>
        </w:tc>
      </w:tr>
    </w:tbl>
    <w:p w:rsidR="00743DA6" w:rsidRDefault="00D95D19">
      <w:pPr>
        <w:spacing w:before="240" w:after="240" w:line="259" w:lineRule="auto"/>
        <w:rPr>
          <w:sz w:val="20"/>
          <w:szCs w:val="20"/>
        </w:rPr>
      </w:pPr>
      <w:r>
        <w:rPr>
          <w:sz w:val="18"/>
          <w:szCs w:val="18"/>
        </w:rPr>
        <w:t>Fuente: Elaboración propia (2025) con base en la matriz comparativa de la SDH (2025)</w:t>
      </w:r>
    </w:p>
    <w:p w:rsidR="00743DA6" w:rsidRDefault="00D95D19">
      <w:pPr>
        <w:spacing w:before="240" w:after="240" w:line="259" w:lineRule="auto"/>
        <w:jc w:val="both"/>
        <w:rPr>
          <w:sz w:val="22"/>
          <w:szCs w:val="22"/>
        </w:rPr>
      </w:pPr>
      <w:r>
        <w:rPr>
          <w:sz w:val="22"/>
          <w:szCs w:val="22"/>
        </w:rPr>
        <w:t>El Distrito anuncia avances importantes: nuevas Casas LGBTI, inversiones históricas en infraestructura y un fortalecimiento del enfoque diferencial que, por fin, parece consolidarse en la gestión pública. Es un mensaje que promete modernidad, reconocimiento y ampliación de derechos. Pero cuando se mira de cerca, la otra cara del relato se impone con fuerza: mientras se construyen ladrillos, se desmantelan los cimientos que sostenían la prevención, la inclusión y la protección social.</w:t>
      </w:r>
    </w:p>
    <w:p w:rsidR="00743DA6" w:rsidRDefault="00D95D19">
      <w:pPr>
        <w:spacing w:before="240" w:after="240" w:line="259" w:lineRule="auto"/>
        <w:jc w:val="both"/>
        <w:rPr>
          <w:sz w:val="22"/>
          <w:szCs w:val="22"/>
        </w:rPr>
      </w:pPr>
      <w:r>
        <w:rPr>
          <w:sz w:val="22"/>
          <w:szCs w:val="22"/>
        </w:rPr>
        <w:t>La contradicción es evidente. Por un lado, el gobierno distrital celebra la apertura de nuevos espacios físicos y el crecimiento de los planes institucionales. Por el otro, deja caer de manera abrupta los componentes responsables de prevenir violencias, proteger a la niñez en riesgo y garantizar la inclusión de personas con discapacidad. Lo que en apariencia es un salto hacia el fortalecimiento institucional, termina siendo, en esencia, un repliegue silencioso de la política social.</w:t>
      </w:r>
    </w:p>
    <w:p w:rsidR="00743DA6" w:rsidRDefault="00D95D19">
      <w:pPr>
        <w:spacing w:before="240" w:after="240" w:line="259" w:lineRule="auto"/>
        <w:jc w:val="both"/>
        <w:rPr>
          <w:sz w:val="22"/>
          <w:szCs w:val="22"/>
        </w:rPr>
      </w:pPr>
      <w:r>
        <w:rPr>
          <w:sz w:val="22"/>
          <w:szCs w:val="22"/>
        </w:rPr>
        <w:t>La ecuación presupuestal cuenta esta historia mejor que cualquier discurso: por cada peso invertido en nuevas infraestructuras o planes administrativos, se recortan casi cuatro pesos de los programas que evitan violencias, que sostienen a las familias en crisis y que permiten a las personas más vulnerables construir autonomía. En términos prácticos, el Distrito se expande hacia afuera —con ladrillos, fachadas y anuncios—, mientras se contrae hacia adentro, renunciando a los mecanismos que realmente contienen la desigualdad.</w:t>
      </w:r>
    </w:p>
    <w:p w:rsidR="00743DA6" w:rsidRDefault="00D95D19">
      <w:pPr>
        <w:spacing w:before="240" w:after="240" w:line="259" w:lineRule="auto"/>
        <w:jc w:val="both"/>
        <w:rPr>
          <w:sz w:val="22"/>
          <w:szCs w:val="22"/>
        </w:rPr>
      </w:pPr>
      <w:r>
        <w:rPr>
          <w:sz w:val="22"/>
          <w:szCs w:val="22"/>
        </w:rPr>
        <w:t>El caso más dramático es el recorte del 67% a la prevención de violencias intrafamiliares. Esta no es solo una decisión financiera: es una renuncia política y ética. Significa, literalmente, abandonar el lugar donde se reproduce el patriarcado, donde se naturalizan los golpes, donde la ciudad puede —o no— evitar que nuevas generaciones crezcan creyendo que la violencia es parte de la vida. Cuando el Estado retira la prevención, la violencia encuentra espacio para crecer: en los hogares, en las calles, en la repetición silenciosa de los ciclos que prometimos romper.</w:t>
      </w:r>
    </w:p>
    <w:p w:rsidR="00743DA6" w:rsidRDefault="00D95D19">
      <w:pPr>
        <w:spacing w:before="240" w:after="240" w:line="259" w:lineRule="auto"/>
        <w:jc w:val="both"/>
        <w:rPr>
          <w:sz w:val="22"/>
          <w:szCs w:val="22"/>
        </w:rPr>
      </w:pPr>
      <w:r>
        <w:rPr>
          <w:sz w:val="22"/>
          <w:szCs w:val="22"/>
        </w:rPr>
        <w:t>Lo mismo ocurre con la inclusión de personas con discapacidad: el modelo pierde recursos sin perder obligaciones, condenando a una política de derechos a operar en modo supervivencia. Y la niñez más vulnerable queda aún más expuesta, porque cada peso que se retira en protección es un niño que espera más, un riesgo que aumenta, una oportunidad que se pierde.</w:t>
      </w:r>
    </w:p>
    <w:p w:rsidR="00743DA6" w:rsidRDefault="00D95D19">
      <w:pPr>
        <w:spacing w:before="240" w:after="240" w:line="259" w:lineRule="auto"/>
        <w:jc w:val="both"/>
        <w:rPr>
          <w:sz w:val="22"/>
          <w:szCs w:val="22"/>
        </w:rPr>
      </w:pPr>
      <w:r>
        <w:rPr>
          <w:sz w:val="22"/>
          <w:szCs w:val="22"/>
        </w:rPr>
        <w:t>Así, el presupuesto 2026 dibuja un modelo de ciudad que ya conocemos: una ciudad que contiene crisis, pero no las evita; que atiende daños, pero no cambia las condiciones que los originan; que invierte en lo visible mientras deja en penumbra las redes que sostienen la vida cotidiana de miles de personas. Es la lógica de la ciudad contenedora: actuar cuando la emergencia estalla, no antes.</w:t>
      </w:r>
    </w:p>
    <w:p w:rsidR="00743DA6" w:rsidRDefault="00D95D19">
      <w:pPr>
        <w:spacing w:before="240" w:line="259" w:lineRule="auto"/>
        <w:jc w:val="both"/>
        <w:rPr>
          <w:b/>
          <w:bCs/>
          <w:sz w:val="22"/>
          <w:szCs w:val="22"/>
        </w:rPr>
      </w:pPr>
      <w:r>
        <w:rPr>
          <w:b/>
          <w:bCs/>
          <w:sz w:val="22"/>
          <w:szCs w:val="22"/>
        </w:rPr>
        <w:t>Proyecto de inversión “Generación de la información, gestión del conocimiento y la innovación para la transformación social en Bogotá</w:t>
      </w:r>
    </w:p>
    <w:p w:rsidR="00743DA6" w:rsidRDefault="00D95D19">
      <w:pPr>
        <w:spacing w:before="240" w:line="259" w:lineRule="auto"/>
        <w:jc w:val="both"/>
        <w:rPr>
          <w:sz w:val="22"/>
          <w:szCs w:val="22"/>
        </w:rPr>
      </w:pPr>
      <w:r>
        <w:rPr>
          <w:sz w:val="22"/>
          <w:szCs w:val="22"/>
        </w:rPr>
        <w:t xml:space="preserve">Mientras Bogotá debate recortes en protección a la niñez, prevención de violencias e inclusión productiva, la SDIS propone un incremento del 412% en soluciones tecnológicas. </w:t>
      </w:r>
    </w:p>
    <w:p w:rsidR="00743DA6" w:rsidRDefault="00D95D19">
      <w:pPr>
        <w:spacing w:before="240" w:line="259" w:lineRule="auto"/>
        <w:jc w:val="center"/>
        <w:rPr>
          <w:b/>
          <w:bCs/>
          <w:sz w:val="22"/>
          <w:szCs w:val="22"/>
        </w:rPr>
      </w:pPr>
      <w:r>
        <w:rPr>
          <w:b/>
          <w:bCs/>
          <w:sz w:val="22"/>
          <w:szCs w:val="22"/>
        </w:rPr>
        <w:t>Tabla. 50. Comparación del proyecto de inversión Generación de la información, gestión del conocimiento y la innovación para la transformación social en Bogotá</w:t>
      </w:r>
    </w:p>
    <w:p w:rsidR="00743DA6" w:rsidRDefault="00743DA6">
      <w:pPr>
        <w:spacing w:before="240" w:line="259" w:lineRule="auto"/>
        <w:rPr>
          <w:b/>
          <w:bCs/>
          <w:sz w:val="22"/>
          <w:szCs w:val="22"/>
        </w:rPr>
      </w:pPr>
    </w:p>
    <w:sdt>
      <w:sdtPr>
        <w:rPr>
          <w:rFonts w:ascii="Arial" w:eastAsia="Arial" w:hAnsi="Arial" w:cs="Arial"/>
          <w:sz w:val="24"/>
          <w:szCs w:val="24"/>
          <w:lang w:val="es" w:eastAsia="es-CO"/>
        </w:rPr>
        <w:tag w:val="goog_rdk_897"/>
        <w:id w:val="-1917407300"/>
        <w:lock w:val="contentLocked"/>
      </w:sdtPr>
      <w:sdtEndPr/>
      <w:sdtContent>
        <w:tbl>
          <w:tblPr>
            <w:tblStyle w:val="afffffffc"/>
            <w:tblW w:w="8838" w:type="dxa"/>
            <w:tblBorders>
              <w:top w:val="nil"/>
              <w:left w:val="nil"/>
              <w:bottom w:val="nil"/>
              <w:right w:val="nil"/>
              <w:insideH w:val="nil"/>
              <w:insideV w:val="nil"/>
            </w:tblBorders>
            <w:tblLayout w:type="fixed"/>
            <w:tblLook w:val="0600" w:firstRow="0" w:lastRow="0" w:firstColumn="0" w:lastColumn="0" w:noHBand="1" w:noVBand="1"/>
          </w:tblPr>
          <w:tblGrid>
            <w:gridCol w:w="1447"/>
            <w:gridCol w:w="1478"/>
            <w:gridCol w:w="1598"/>
            <w:gridCol w:w="1732"/>
            <w:gridCol w:w="2583"/>
          </w:tblGrid>
          <w:tr w:rsidR="00743DA6">
            <w:trPr>
              <w:trHeight w:val="585"/>
            </w:trPr>
            <w:tc>
              <w:tcPr>
                <w:tcW w:w="1448" w:type="dxa"/>
                <w:tcBorders>
                  <w:top w:val="single" w:sz="5" w:space="0" w:color="000000"/>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spacing w:line="259" w:lineRule="auto"/>
                  <w:jc w:val="both"/>
                  <w:rPr>
                    <w:rFonts w:ascii="Arial" w:eastAsia="Arial" w:hAnsi="Arial" w:cs="Arial"/>
                  </w:rPr>
                </w:pPr>
                <w:r>
                  <w:rPr>
                    <w:rFonts w:ascii="Arial" w:eastAsia="Arial" w:hAnsi="Arial" w:cs="Arial"/>
                  </w:rPr>
                  <w:t>Concepto</w:t>
                </w:r>
              </w:p>
            </w:tc>
            <w:tc>
              <w:tcPr>
                <w:tcW w:w="1477"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rPr>
                </w:pPr>
                <w:r>
                  <w:rPr>
                    <w:rFonts w:ascii="Arial" w:eastAsia="Arial" w:hAnsi="Arial" w:cs="Arial"/>
                  </w:rPr>
                  <w:t>2025</w:t>
                </w:r>
              </w:p>
            </w:tc>
            <w:tc>
              <w:tcPr>
                <w:tcW w:w="1597"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rPr>
                </w:pPr>
                <w:r>
                  <w:rPr>
                    <w:rFonts w:ascii="Arial" w:eastAsia="Arial" w:hAnsi="Arial" w:cs="Arial"/>
                  </w:rPr>
                  <w:t>2026</w:t>
                </w:r>
              </w:p>
            </w:tc>
            <w:tc>
              <w:tcPr>
                <w:tcW w:w="1731"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rPr>
                </w:pPr>
                <w:r>
                  <w:rPr>
                    <w:rFonts w:ascii="Arial" w:eastAsia="Arial" w:hAnsi="Arial" w:cs="Arial"/>
                  </w:rPr>
                  <w:t>Variación</w:t>
                </w:r>
              </w:p>
            </w:tc>
            <w:tc>
              <w:tcPr>
                <w:tcW w:w="2582" w:type="dxa"/>
                <w:tcBorders>
                  <w:top w:val="single" w:sz="5" w:space="0" w:color="000000"/>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rPr>
                </w:pPr>
                <w:r>
                  <w:rPr>
                    <w:rFonts w:ascii="Arial" w:eastAsia="Arial" w:hAnsi="Arial" w:cs="Arial"/>
                  </w:rPr>
                  <w:t>Equivalente en</w:t>
                </w:r>
              </w:p>
            </w:tc>
          </w:tr>
          <w:tr w:rsidR="00743DA6">
            <w:trPr>
              <w:trHeight w:val="1410"/>
            </w:trPr>
            <w:tc>
              <w:tcPr>
                <w:tcW w:w="1448"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spacing w:line="259" w:lineRule="auto"/>
                  <w:jc w:val="both"/>
                  <w:rPr>
                    <w:rFonts w:ascii="Arial" w:eastAsia="Arial" w:hAnsi="Arial" w:cs="Arial"/>
                    <w:b/>
                    <w:bCs/>
                  </w:rPr>
                </w:pPr>
                <w:r>
                  <w:rPr>
                    <w:rFonts w:ascii="Arial" w:eastAsia="Arial" w:hAnsi="Arial" w:cs="Arial"/>
                    <w:b/>
                    <w:bCs/>
                  </w:rPr>
                  <w:t>Tecnología</w:t>
                </w:r>
              </w:p>
            </w:tc>
            <w:tc>
              <w:tcPr>
                <w:tcW w:w="1477"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rPr>
                </w:pPr>
                <w:r>
                  <w:rPr>
                    <w:rFonts w:ascii="Arial" w:eastAsia="Arial" w:hAnsi="Arial" w:cs="Arial"/>
                  </w:rPr>
                  <w:t>$28.958M</w:t>
                </w:r>
              </w:p>
            </w:tc>
            <w:tc>
              <w:tcPr>
                <w:tcW w:w="1597"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rPr>
                </w:pPr>
                <w:r>
                  <w:rPr>
                    <w:rFonts w:ascii="Arial" w:eastAsia="Arial" w:hAnsi="Arial" w:cs="Arial"/>
                  </w:rPr>
                  <w:t>$148.258M</w:t>
                </w:r>
              </w:p>
            </w:tc>
            <w:tc>
              <w:tcPr>
                <w:tcW w:w="1731"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b/>
                    <w:bCs/>
                  </w:rPr>
                </w:pPr>
                <w:r>
                  <w:rPr>
                    <w:rFonts w:ascii="Arial" w:eastAsia="Arial" w:hAnsi="Arial" w:cs="Arial"/>
                    <w:b/>
                    <w:bCs/>
                  </w:rPr>
                  <w:t>+$119.300M</w:t>
                </w:r>
              </w:p>
            </w:tc>
            <w:tc>
              <w:tcPr>
                <w:tcW w:w="2582" w:type="dxa"/>
                <w:tcBorders>
                  <w:top w:val="nil"/>
                  <w:left w:val="nil"/>
                  <w:bottom w:val="single" w:sz="5" w:space="0" w:color="000000"/>
                  <w:right w:val="single" w:sz="5" w:space="0" w:color="000000"/>
                </w:tcBorders>
                <w:tcMar>
                  <w:top w:w="160" w:type="dxa"/>
                  <w:left w:w="240" w:type="dxa"/>
                  <w:bottom w:w="160" w:type="dxa"/>
                  <w:right w:w="0" w:type="dxa"/>
                </w:tcMar>
              </w:tcPr>
              <w:p w:rsidR="00743DA6" w:rsidRDefault="00D95D19">
                <w:pPr>
                  <w:spacing w:line="259" w:lineRule="auto"/>
                  <w:jc w:val="both"/>
                  <w:rPr>
                    <w:rFonts w:ascii="Arial" w:eastAsia="Arial" w:hAnsi="Arial" w:cs="Arial"/>
                    <w:b/>
                    <w:bCs/>
                  </w:rPr>
                </w:pPr>
                <w:r>
                  <w:rPr>
                    <w:rFonts w:ascii="Arial" w:eastAsia="Arial" w:hAnsi="Arial" w:cs="Arial"/>
                  </w:rPr>
                  <w:t xml:space="preserve">3.5 veces el presupuesto de </w:t>
                </w:r>
                <w:r>
                  <w:rPr>
                    <w:rFonts w:ascii="Arial" w:eastAsia="Arial" w:hAnsi="Arial" w:cs="Arial"/>
                    <w:b/>
                    <w:bCs/>
                  </w:rPr>
                  <w:t>atención a niñez con medida de protección</w:t>
                </w:r>
              </w:p>
            </w:tc>
          </w:tr>
          <w:tr w:rsidR="00743DA6">
            <w:trPr>
              <w:trHeight w:val="1140"/>
            </w:trPr>
            <w:tc>
              <w:tcPr>
                <w:tcW w:w="1448"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spacing w:line="259" w:lineRule="auto"/>
                  <w:jc w:val="both"/>
                  <w:rPr>
                    <w:rFonts w:ascii="Arial" w:eastAsia="Arial" w:hAnsi="Arial" w:cs="Arial"/>
                    <w:b/>
                    <w:bCs/>
                  </w:rPr>
                </w:pPr>
                <w:r>
                  <w:rPr>
                    <w:rFonts w:ascii="Arial" w:eastAsia="Arial" w:hAnsi="Arial" w:cs="Arial"/>
                    <w:b/>
                    <w:bCs/>
                  </w:rPr>
                  <w:t>Asesoría Técnica</w:t>
                </w:r>
              </w:p>
            </w:tc>
            <w:tc>
              <w:tcPr>
                <w:tcW w:w="1477"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rPr>
                </w:pPr>
                <w:r>
                  <w:rPr>
                    <w:rFonts w:ascii="Arial" w:eastAsia="Arial" w:hAnsi="Arial" w:cs="Arial"/>
                  </w:rPr>
                  <w:t>$4.995M</w:t>
                </w:r>
              </w:p>
            </w:tc>
            <w:tc>
              <w:tcPr>
                <w:tcW w:w="1597"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rPr>
                </w:pPr>
                <w:r>
                  <w:rPr>
                    <w:rFonts w:ascii="Arial" w:eastAsia="Arial" w:hAnsi="Arial" w:cs="Arial"/>
                  </w:rPr>
                  <w:t>$4.029M</w:t>
                </w:r>
              </w:p>
            </w:tc>
            <w:tc>
              <w:tcPr>
                <w:tcW w:w="1731"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b/>
                    <w:bCs/>
                  </w:rPr>
                </w:pPr>
                <w:r>
                  <w:rPr>
                    <w:rFonts w:ascii="Arial" w:eastAsia="Arial" w:hAnsi="Arial" w:cs="Arial"/>
                    <w:b/>
                    <w:bCs/>
                  </w:rPr>
                  <w:t>-$966M</w:t>
                </w:r>
              </w:p>
            </w:tc>
            <w:tc>
              <w:tcPr>
                <w:tcW w:w="2582" w:type="dxa"/>
                <w:tcBorders>
                  <w:top w:val="nil"/>
                  <w:left w:val="nil"/>
                  <w:bottom w:val="single" w:sz="5" w:space="0" w:color="000000"/>
                  <w:right w:val="single" w:sz="5" w:space="0" w:color="000000"/>
                </w:tcBorders>
                <w:tcMar>
                  <w:top w:w="160" w:type="dxa"/>
                  <w:left w:w="240" w:type="dxa"/>
                  <w:bottom w:w="160" w:type="dxa"/>
                  <w:right w:w="0" w:type="dxa"/>
                </w:tcMar>
              </w:tcPr>
              <w:p w:rsidR="00743DA6" w:rsidRDefault="00D95D19">
                <w:pPr>
                  <w:spacing w:line="259" w:lineRule="auto"/>
                  <w:jc w:val="both"/>
                  <w:rPr>
                    <w:rFonts w:ascii="Arial" w:eastAsia="Arial" w:hAnsi="Arial" w:cs="Arial"/>
                  </w:rPr>
                </w:pPr>
                <w:r>
                  <w:rPr>
                    <w:rFonts w:ascii="Arial" w:eastAsia="Arial" w:hAnsi="Arial" w:cs="Arial"/>
                  </w:rPr>
                  <w:t>28% menos capacidad para diseñar políticas públicas</w:t>
                </w:r>
              </w:p>
            </w:tc>
          </w:tr>
          <w:tr w:rsidR="00743DA6">
            <w:trPr>
              <w:trHeight w:val="870"/>
            </w:trPr>
            <w:tc>
              <w:tcPr>
                <w:tcW w:w="1448" w:type="dxa"/>
                <w:tcBorders>
                  <w:top w:val="nil"/>
                  <w:left w:val="single" w:sz="5" w:space="0" w:color="000000"/>
                  <w:bottom w:val="single" w:sz="5" w:space="0" w:color="000000"/>
                  <w:right w:val="single" w:sz="5" w:space="0" w:color="000000"/>
                </w:tcBorders>
                <w:tcMar>
                  <w:top w:w="160" w:type="dxa"/>
                  <w:left w:w="0" w:type="dxa"/>
                  <w:bottom w:w="160" w:type="dxa"/>
                  <w:right w:w="240" w:type="dxa"/>
                </w:tcMar>
              </w:tcPr>
              <w:p w:rsidR="00743DA6" w:rsidRDefault="00D95D19">
                <w:pPr>
                  <w:spacing w:line="259" w:lineRule="auto"/>
                  <w:jc w:val="both"/>
                  <w:rPr>
                    <w:rFonts w:ascii="Arial" w:eastAsia="Arial" w:hAnsi="Arial" w:cs="Arial"/>
                    <w:b/>
                    <w:bCs/>
                  </w:rPr>
                </w:pPr>
                <w:r>
                  <w:rPr>
                    <w:rFonts w:ascii="Arial" w:eastAsia="Arial" w:hAnsi="Arial" w:cs="Arial"/>
                    <w:b/>
                    <w:bCs/>
                  </w:rPr>
                  <w:t>Total Proyecto</w:t>
                </w:r>
              </w:p>
            </w:tc>
            <w:tc>
              <w:tcPr>
                <w:tcW w:w="1477"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rPr>
                </w:pPr>
                <w:r>
                  <w:rPr>
                    <w:rFonts w:ascii="Arial" w:eastAsia="Arial" w:hAnsi="Arial" w:cs="Arial"/>
                  </w:rPr>
                  <w:t>$40.471M</w:t>
                </w:r>
              </w:p>
            </w:tc>
            <w:tc>
              <w:tcPr>
                <w:tcW w:w="1597"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rPr>
                </w:pPr>
                <w:r>
                  <w:rPr>
                    <w:rFonts w:ascii="Arial" w:eastAsia="Arial" w:hAnsi="Arial" w:cs="Arial"/>
                  </w:rPr>
                  <w:t>$158.994M</w:t>
                </w:r>
              </w:p>
            </w:tc>
            <w:tc>
              <w:tcPr>
                <w:tcW w:w="1731" w:type="dxa"/>
                <w:tcBorders>
                  <w:top w:val="nil"/>
                  <w:left w:val="nil"/>
                  <w:bottom w:val="single" w:sz="5" w:space="0" w:color="000000"/>
                  <w:right w:val="single" w:sz="5" w:space="0" w:color="000000"/>
                </w:tcBorders>
                <w:tcMar>
                  <w:top w:w="160" w:type="dxa"/>
                  <w:left w:w="240" w:type="dxa"/>
                  <w:bottom w:w="160" w:type="dxa"/>
                  <w:right w:w="240" w:type="dxa"/>
                </w:tcMar>
              </w:tcPr>
              <w:p w:rsidR="00743DA6" w:rsidRDefault="00D95D19">
                <w:pPr>
                  <w:spacing w:line="259" w:lineRule="auto"/>
                  <w:jc w:val="both"/>
                  <w:rPr>
                    <w:rFonts w:ascii="Arial" w:eastAsia="Arial" w:hAnsi="Arial" w:cs="Arial"/>
                    <w:b/>
                    <w:bCs/>
                  </w:rPr>
                </w:pPr>
                <w:r>
                  <w:rPr>
                    <w:rFonts w:ascii="Arial" w:eastAsia="Arial" w:hAnsi="Arial" w:cs="Arial"/>
                    <w:b/>
                    <w:bCs/>
                  </w:rPr>
                  <w:t>+$118.523M</w:t>
                </w:r>
              </w:p>
            </w:tc>
            <w:tc>
              <w:tcPr>
                <w:tcW w:w="2582" w:type="dxa"/>
                <w:tcBorders>
                  <w:top w:val="nil"/>
                  <w:left w:val="nil"/>
                  <w:bottom w:val="single" w:sz="5" w:space="0" w:color="000000"/>
                  <w:right w:val="single" w:sz="5" w:space="0" w:color="000000"/>
                </w:tcBorders>
                <w:tcMar>
                  <w:top w:w="160" w:type="dxa"/>
                  <w:left w:w="240" w:type="dxa"/>
                  <w:bottom w:w="160" w:type="dxa"/>
                  <w:right w:w="0" w:type="dxa"/>
                </w:tcMar>
              </w:tcPr>
              <w:p w:rsidR="00743DA6" w:rsidRDefault="00D95D19">
                <w:pPr>
                  <w:spacing w:line="259" w:lineRule="auto"/>
                  <w:jc w:val="both"/>
                  <w:rPr>
                    <w:rFonts w:ascii="Arial" w:eastAsia="Arial" w:hAnsi="Arial" w:cs="Arial"/>
                    <w:b/>
                    <w:bCs/>
                  </w:rPr>
                </w:pPr>
                <w:r>
                  <w:rPr>
                    <w:rFonts w:ascii="Arial" w:eastAsia="Arial" w:hAnsi="Arial" w:cs="Arial"/>
                  </w:rPr>
                  <w:t xml:space="preserve">Crecimiento del </w:t>
                </w:r>
                <w:r>
                  <w:rPr>
                    <w:rFonts w:ascii="Arial" w:eastAsia="Arial" w:hAnsi="Arial" w:cs="Arial"/>
                    <w:b/>
                    <w:bCs/>
                  </w:rPr>
                  <w:t>293%</w:t>
                </w:r>
              </w:p>
            </w:tc>
          </w:tr>
        </w:tbl>
      </w:sdtContent>
    </w:sdt>
    <w:p w:rsidR="00743DA6" w:rsidRDefault="00D95D19">
      <w:pPr>
        <w:spacing w:before="240" w:after="240" w:line="259" w:lineRule="auto"/>
        <w:rPr>
          <w:sz w:val="22"/>
          <w:szCs w:val="22"/>
        </w:rPr>
      </w:pPr>
      <w:r>
        <w:rPr>
          <w:sz w:val="18"/>
          <w:szCs w:val="18"/>
        </w:rPr>
        <w:t>Fuente: Elaboración propia (2025) con base en la matriz comparativa de la SDH (2025)</w:t>
      </w:r>
    </w:p>
    <w:p w:rsidR="00743DA6" w:rsidRDefault="00D95D19">
      <w:pPr>
        <w:spacing w:before="240" w:after="240" w:line="259" w:lineRule="auto"/>
        <w:jc w:val="both"/>
        <w:rPr>
          <w:sz w:val="22"/>
          <w:szCs w:val="22"/>
        </w:rPr>
      </w:pPr>
      <w:r>
        <w:rPr>
          <w:sz w:val="22"/>
          <w:szCs w:val="22"/>
        </w:rPr>
        <w:t>Mientras Bogotá discute recortes en áreas tan sensibles como la protección a la niñez, la prevención de violencias y los procesos de inclusión productiva, la Secretaría de Integración Social propone un incremento del 412% en soluciones tecnológicas. No es un simple ajuste presupuestal: es un viraje estructural que redefine las prioridades de la política social del Distrito.</w:t>
      </w:r>
    </w:p>
    <w:p w:rsidR="00743DA6" w:rsidRDefault="00D95D19">
      <w:pPr>
        <w:spacing w:before="240" w:after="240" w:line="259" w:lineRule="auto"/>
        <w:jc w:val="both"/>
        <w:rPr>
          <w:sz w:val="22"/>
          <w:szCs w:val="22"/>
        </w:rPr>
      </w:pPr>
      <w:r>
        <w:rPr>
          <w:sz w:val="22"/>
          <w:szCs w:val="22"/>
        </w:rPr>
        <w:t xml:space="preserve">La justificación institucional señala que este aumento se debe, en gran parte, al convenio firmado con ETB para subsidiar servicios de internet. Sin embargo, </w:t>
      </w:r>
      <w:r>
        <w:rPr>
          <w:b/>
          <w:bCs/>
          <w:sz w:val="22"/>
          <w:szCs w:val="22"/>
        </w:rPr>
        <w:t>no existe información pública suficiente sobre dicho convenio</w:t>
      </w:r>
      <w:r>
        <w:rPr>
          <w:sz w:val="22"/>
          <w:szCs w:val="22"/>
        </w:rPr>
        <w:t>: no se conoce el monto desagregado, los términos contractuales, los territorios priorizados ni la población beneficiaria. En un contexto de restricciones presupuestales, destinar recursos masivos a un acuerdo cuya estructura y alcance no han sido claramente explicados genera dudas legítimas sobre la pertinencia, la oportunidad y el impacto real de la inversión.</w:t>
      </w:r>
    </w:p>
    <w:p w:rsidR="00743DA6" w:rsidRDefault="00D95D19">
      <w:pPr>
        <w:spacing w:before="240" w:after="240" w:line="259" w:lineRule="auto"/>
        <w:jc w:val="both"/>
        <w:rPr>
          <w:sz w:val="22"/>
          <w:szCs w:val="22"/>
        </w:rPr>
      </w:pPr>
      <w:r>
        <w:rPr>
          <w:sz w:val="22"/>
          <w:szCs w:val="22"/>
        </w:rPr>
        <w:t>La pregunta de fondo se vuelve aún más relevante: ¿tecnología para quién y para qué, si al mismo tiempo se reduce la capacidad técnica responsable de orientar su uso? Sin claridad sobre los beneficiarios del subsidio, la política corre el riesgo de ser una modernización sin destinatarios concretos.</w:t>
      </w:r>
    </w:p>
    <w:p w:rsidR="00743DA6" w:rsidRDefault="00D95D19">
      <w:pPr>
        <w:spacing w:before="240" w:after="240" w:line="259" w:lineRule="auto"/>
        <w:jc w:val="both"/>
        <w:rPr>
          <w:sz w:val="22"/>
          <w:szCs w:val="22"/>
        </w:rPr>
      </w:pPr>
      <w:r>
        <w:rPr>
          <w:sz w:val="22"/>
          <w:szCs w:val="22"/>
        </w:rPr>
        <w:t>La desproporción presupuestal es evidente. El rubro de tecnología pasa de 28.958 millones en 2025 a más de 148.000 millones en 2026, mientras que la asesoría técnica —la capacidad profesional que analiza información, diseña intervenciones y orienta decisiones— se reduce en un 28%. El resultado probable es un aparato tecnológico robusto, pero sin el soporte humano suficiente para garantizar su operatividad y eficacia.</w:t>
      </w:r>
    </w:p>
    <w:p w:rsidR="00743DA6" w:rsidRDefault="00D95D19">
      <w:pPr>
        <w:spacing w:before="240" w:after="240" w:line="259" w:lineRule="auto"/>
        <w:jc w:val="both"/>
        <w:rPr>
          <w:sz w:val="22"/>
          <w:szCs w:val="22"/>
        </w:rPr>
      </w:pPr>
      <w:r>
        <w:rPr>
          <w:sz w:val="22"/>
          <w:szCs w:val="22"/>
        </w:rPr>
        <w:t>Con apenas una fracción del aumento destinado a tecnología —incluido el convenio con ETB aún sin explicar— sería posible cubrir los recortes en programas esenciales: prevención de violencias intrafamiliares, atención a niñas y niños en protección, fortalecimiento del modelo de inclusión para personas con discapacidad y los demás ajustes negativos aplicados a proyectos prioritarios. La ecuación ética es clara: mientras los programas sociales pierden recursos, la apuesta tecnológica crece sin sustento suficiente y sin transparencia.</w:t>
      </w:r>
    </w:p>
    <w:p w:rsidR="00743DA6" w:rsidRDefault="00D95D19">
      <w:pPr>
        <w:spacing w:before="240" w:after="240" w:line="259" w:lineRule="auto"/>
        <w:jc w:val="both"/>
        <w:rPr>
          <w:sz w:val="22"/>
          <w:szCs w:val="22"/>
        </w:rPr>
      </w:pPr>
      <w:r>
        <w:rPr>
          <w:sz w:val="22"/>
          <w:szCs w:val="22"/>
        </w:rPr>
        <w:t xml:space="preserve">Este viraje revela un cambio profundo en el modelo de gestión: un </w:t>
      </w:r>
      <w:r>
        <w:rPr>
          <w:b/>
          <w:bCs/>
          <w:sz w:val="22"/>
          <w:szCs w:val="22"/>
        </w:rPr>
        <w:t>gerencialismo tecnocrático</w:t>
      </w:r>
      <w:r>
        <w:rPr>
          <w:sz w:val="22"/>
          <w:szCs w:val="22"/>
        </w:rPr>
        <w:t xml:space="preserve"> que privilegia sistemas sobre personas, datos sobre diagnósticos e infraestructura digital sobre intervención social. En este tránsito, se debilita la capacidad institucional para comprender problemáticas complejas, diseñar políticas integrales y evaluar impactos reales en la vida de la ciudadanía.</w:t>
      </w:r>
    </w:p>
    <w:p w:rsidR="00743DA6" w:rsidRDefault="00D95D19">
      <w:pPr>
        <w:spacing w:before="240" w:after="240" w:line="259" w:lineRule="auto"/>
        <w:jc w:val="center"/>
        <w:rPr>
          <w:b/>
          <w:bCs/>
          <w:sz w:val="22"/>
          <w:szCs w:val="22"/>
        </w:rPr>
      </w:pPr>
      <w:r>
        <w:rPr>
          <w:b/>
          <w:bCs/>
          <w:sz w:val="22"/>
          <w:szCs w:val="22"/>
        </w:rPr>
        <w:t>Tabla No. 51. Proyecto de Fortalecimiento de la Gestión Pública (Cifras en Millones de $)</w:t>
      </w:r>
    </w:p>
    <w:tbl>
      <w:tblPr>
        <w:tblStyle w:val="afffffffd"/>
        <w:tblW w:w="8850" w:type="dxa"/>
        <w:tblBorders>
          <w:top w:val="nil"/>
          <w:left w:val="nil"/>
          <w:bottom w:val="nil"/>
          <w:right w:val="nil"/>
          <w:insideH w:val="nil"/>
          <w:insideV w:val="nil"/>
        </w:tblBorders>
        <w:tblLayout w:type="fixed"/>
        <w:tblLook w:val="0600" w:firstRow="0" w:lastRow="0" w:firstColumn="0" w:lastColumn="0" w:noHBand="1" w:noVBand="1"/>
      </w:tblPr>
      <w:tblGrid>
        <w:gridCol w:w="2700"/>
        <w:gridCol w:w="1155"/>
        <w:gridCol w:w="1290"/>
        <w:gridCol w:w="1095"/>
        <w:gridCol w:w="1140"/>
        <w:gridCol w:w="1470"/>
      </w:tblGrid>
      <w:tr w:rsidR="00743DA6">
        <w:trPr>
          <w:trHeight w:val="555"/>
        </w:trPr>
        <w:tc>
          <w:tcPr>
            <w:tcW w:w="2700"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Meta Específica</w:t>
            </w:r>
          </w:p>
        </w:tc>
        <w:tc>
          <w:tcPr>
            <w:tcW w:w="115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rPr>
                <w:rFonts w:ascii="Arial" w:eastAsia="Arial" w:hAnsi="Arial" w:cs="Arial"/>
                <w:sz w:val="18"/>
                <w:szCs w:val="18"/>
              </w:rPr>
            </w:pPr>
            <w:r>
              <w:rPr>
                <w:rFonts w:ascii="Arial" w:eastAsia="Arial" w:hAnsi="Arial" w:cs="Arial"/>
                <w:sz w:val="18"/>
                <w:szCs w:val="18"/>
              </w:rPr>
              <w:t>Programado 2025</w:t>
            </w:r>
          </w:p>
        </w:tc>
        <w:tc>
          <w:tcPr>
            <w:tcW w:w="129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GIROS 2025</w:t>
            </w:r>
          </w:p>
        </w:tc>
        <w:tc>
          <w:tcPr>
            <w:tcW w:w="109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 Ejecución</w:t>
            </w:r>
          </w:p>
        </w:tc>
        <w:tc>
          <w:tcPr>
            <w:tcW w:w="114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rPr>
                <w:rFonts w:ascii="Arial" w:eastAsia="Arial" w:hAnsi="Arial" w:cs="Arial"/>
                <w:sz w:val="18"/>
                <w:szCs w:val="18"/>
              </w:rPr>
            </w:pPr>
            <w:r>
              <w:rPr>
                <w:rFonts w:ascii="Arial" w:eastAsia="Arial" w:hAnsi="Arial" w:cs="Arial"/>
                <w:sz w:val="18"/>
                <w:szCs w:val="18"/>
              </w:rPr>
              <w:t>Programado 2026</w:t>
            </w:r>
          </w:p>
        </w:tc>
        <w:tc>
          <w:tcPr>
            <w:tcW w:w="147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Brecha (2026-2025)</w:t>
            </w:r>
          </w:p>
        </w:tc>
      </w:tr>
      <w:tr w:rsidR="00743DA6">
        <w:trPr>
          <w:trHeight w:val="360"/>
        </w:trPr>
        <w:tc>
          <w:tcPr>
            <w:tcW w:w="270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Servicios de apoyo transversal</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227.189</w:t>
            </w:r>
          </w:p>
        </w:tc>
        <w:tc>
          <w:tcPr>
            <w:tcW w:w="129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117.904</w:t>
            </w:r>
          </w:p>
        </w:tc>
        <w:tc>
          <w:tcPr>
            <w:tcW w:w="109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51,9%</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255.000</w:t>
            </w:r>
          </w:p>
        </w:tc>
        <w:tc>
          <w:tcPr>
            <w:tcW w:w="14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+27.811</w:t>
            </w:r>
          </w:p>
        </w:tc>
      </w:tr>
      <w:tr w:rsidR="00743DA6">
        <w:trPr>
          <w:trHeight w:val="360"/>
        </w:trPr>
        <w:tc>
          <w:tcPr>
            <w:tcW w:w="270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Gestión del Talento Humano</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277.177</w:t>
            </w:r>
          </w:p>
        </w:tc>
        <w:tc>
          <w:tcPr>
            <w:tcW w:w="129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165.681</w:t>
            </w:r>
          </w:p>
        </w:tc>
        <w:tc>
          <w:tcPr>
            <w:tcW w:w="109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59,8%</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305.226</w:t>
            </w:r>
          </w:p>
        </w:tc>
        <w:tc>
          <w:tcPr>
            <w:tcW w:w="14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+28.049</w:t>
            </w:r>
          </w:p>
        </w:tc>
      </w:tr>
      <w:tr w:rsidR="00743DA6">
        <w:trPr>
          <w:trHeight w:val="555"/>
        </w:trPr>
        <w:tc>
          <w:tcPr>
            <w:tcW w:w="270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Transparencia y atención a la ciudadanía</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1.903</w:t>
            </w:r>
          </w:p>
        </w:tc>
        <w:tc>
          <w:tcPr>
            <w:tcW w:w="129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1.108</w:t>
            </w:r>
          </w:p>
        </w:tc>
        <w:tc>
          <w:tcPr>
            <w:tcW w:w="109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58,2%</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1.658</w:t>
            </w:r>
          </w:p>
        </w:tc>
        <w:tc>
          <w:tcPr>
            <w:tcW w:w="14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sz w:val="18"/>
                <w:szCs w:val="18"/>
              </w:rPr>
            </w:pPr>
            <w:r>
              <w:rPr>
                <w:rFonts w:ascii="Arial" w:eastAsia="Arial" w:hAnsi="Arial" w:cs="Arial"/>
                <w:sz w:val="18"/>
                <w:szCs w:val="18"/>
              </w:rPr>
              <w:t>-245</w:t>
            </w:r>
          </w:p>
        </w:tc>
      </w:tr>
      <w:tr w:rsidR="00743DA6">
        <w:trPr>
          <w:trHeight w:val="360"/>
        </w:trPr>
        <w:tc>
          <w:tcPr>
            <w:tcW w:w="270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b/>
                <w:bCs/>
                <w:sz w:val="18"/>
                <w:szCs w:val="18"/>
              </w:rPr>
            </w:pPr>
            <w:r>
              <w:rPr>
                <w:rFonts w:ascii="Arial" w:eastAsia="Arial" w:hAnsi="Arial" w:cs="Arial"/>
                <w:b/>
                <w:bCs/>
                <w:sz w:val="18"/>
                <w:szCs w:val="18"/>
              </w:rPr>
              <w:t>Modernización institucional</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b/>
                <w:bCs/>
                <w:sz w:val="18"/>
                <w:szCs w:val="18"/>
              </w:rPr>
            </w:pPr>
            <w:r>
              <w:rPr>
                <w:rFonts w:ascii="Arial" w:eastAsia="Arial" w:hAnsi="Arial" w:cs="Arial"/>
                <w:b/>
                <w:bCs/>
                <w:sz w:val="18"/>
                <w:szCs w:val="18"/>
              </w:rPr>
              <w:t>3.095</w:t>
            </w:r>
          </w:p>
        </w:tc>
        <w:tc>
          <w:tcPr>
            <w:tcW w:w="129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b/>
                <w:bCs/>
                <w:sz w:val="18"/>
                <w:szCs w:val="18"/>
              </w:rPr>
            </w:pPr>
            <w:r>
              <w:rPr>
                <w:rFonts w:ascii="Arial" w:eastAsia="Arial" w:hAnsi="Arial" w:cs="Arial"/>
                <w:b/>
                <w:bCs/>
                <w:sz w:val="18"/>
                <w:szCs w:val="18"/>
              </w:rPr>
              <w:t>22</w:t>
            </w:r>
          </w:p>
        </w:tc>
        <w:tc>
          <w:tcPr>
            <w:tcW w:w="109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b/>
                <w:bCs/>
                <w:sz w:val="18"/>
                <w:szCs w:val="18"/>
              </w:rPr>
            </w:pPr>
            <w:r>
              <w:rPr>
                <w:rFonts w:ascii="Arial" w:eastAsia="Arial" w:hAnsi="Arial" w:cs="Arial"/>
                <w:b/>
                <w:bCs/>
                <w:sz w:val="18"/>
                <w:szCs w:val="18"/>
              </w:rPr>
              <w:t>0,7%</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b/>
                <w:bCs/>
                <w:sz w:val="18"/>
                <w:szCs w:val="18"/>
              </w:rPr>
            </w:pPr>
            <w:r>
              <w:rPr>
                <w:rFonts w:ascii="Arial" w:eastAsia="Arial" w:hAnsi="Arial" w:cs="Arial"/>
                <w:b/>
                <w:bCs/>
                <w:sz w:val="18"/>
                <w:szCs w:val="18"/>
              </w:rPr>
              <w:t>100</w:t>
            </w:r>
          </w:p>
        </w:tc>
        <w:tc>
          <w:tcPr>
            <w:tcW w:w="147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spacing w:before="240" w:after="160" w:line="256" w:lineRule="auto"/>
              <w:jc w:val="both"/>
              <w:rPr>
                <w:rFonts w:ascii="Arial" w:eastAsia="Arial" w:hAnsi="Arial" w:cs="Arial"/>
                <w:b/>
                <w:bCs/>
                <w:sz w:val="18"/>
                <w:szCs w:val="18"/>
              </w:rPr>
            </w:pPr>
            <w:r>
              <w:rPr>
                <w:rFonts w:ascii="Arial" w:eastAsia="Arial" w:hAnsi="Arial" w:cs="Arial"/>
                <w:b/>
                <w:bCs/>
                <w:sz w:val="18"/>
                <w:szCs w:val="18"/>
              </w:rPr>
              <w:t>-2.995</w:t>
            </w:r>
          </w:p>
        </w:tc>
      </w:tr>
    </w:tbl>
    <w:p w:rsidR="00743DA6" w:rsidRDefault="00D95D19">
      <w:pPr>
        <w:spacing w:before="240" w:after="240" w:line="259" w:lineRule="auto"/>
        <w:rPr>
          <w:sz w:val="22"/>
          <w:szCs w:val="22"/>
        </w:rPr>
      </w:pPr>
      <w:r>
        <w:rPr>
          <w:sz w:val="18"/>
          <w:szCs w:val="18"/>
        </w:rPr>
        <w:t>Fuente: Elaboración propia (2025) con base en la matriz comparativa de la SDH (2025)</w:t>
      </w:r>
    </w:p>
    <w:p w:rsidR="00743DA6" w:rsidRDefault="00D95D19">
      <w:pPr>
        <w:spacing w:before="240" w:after="240" w:line="259" w:lineRule="auto"/>
        <w:jc w:val="both"/>
        <w:rPr>
          <w:sz w:val="22"/>
          <w:szCs w:val="22"/>
        </w:rPr>
      </w:pPr>
      <w:r>
        <w:rPr>
          <w:sz w:val="22"/>
          <w:szCs w:val="22"/>
        </w:rPr>
        <w:t>*Giros a Octubre de 2025</w:t>
      </w:r>
    </w:p>
    <w:p w:rsidR="00743DA6" w:rsidRDefault="00D95D19">
      <w:pPr>
        <w:spacing w:before="240" w:after="240" w:line="259" w:lineRule="auto"/>
        <w:jc w:val="both"/>
        <w:rPr>
          <w:b/>
          <w:bCs/>
          <w:sz w:val="22"/>
          <w:szCs w:val="22"/>
        </w:rPr>
      </w:pPr>
      <w:r>
        <w:rPr>
          <w:b/>
          <w:bCs/>
          <w:sz w:val="22"/>
          <w:szCs w:val="22"/>
        </w:rPr>
        <w:t>Hallazgos Clave (Metas Fortalecimiento Gestión Pública):</w:t>
      </w:r>
    </w:p>
    <w:p w:rsidR="00743DA6" w:rsidRDefault="00D95D19">
      <w:pPr>
        <w:numPr>
          <w:ilvl w:val="0"/>
          <w:numId w:val="8"/>
        </w:numPr>
        <w:spacing w:line="259" w:lineRule="auto"/>
        <w:jc w:val="both"/>
        <w:rPr>
          <w:sz w:val="22"/>
          <w:szCs w:val="22"/>
        </w:rPr>
      </w:pPr>
      <w:r>
        <w:rPr>
          <w:sz w:val="22"/>
          <w:szCs w:val="22"/>
        </w:rPr>
        <w:t>Priorización de la Nómina y la Operatividad: El grueso del aumento presupuestal (más de $55.000 millones) se concentra en Talento Humano y Servicios de Apoyo. Esto refleja una priorización del funcionamiento interno y la nómina.</w:t>
      </w:r>
    </w:p>
    <w:p w:rsidR="00743DA6" w:rsidRDefault="00D95D19">
      <w:pPr>
        <w:numPr>
          <w:ilvl w:val="0"/>
          <w:numId w:val="8"/>
        </w:numPr>
        <w:spacing w:line="259" w:lineRule="auto"/>
        <w:jc w:val="both"/>
        <w:rPr>
          <w:sz w:val="22"/>
          <w:szCs w:val="22"/>
        </w:rPr>
      </w:pPr>
      <w:r>
        <w:rPr>
          <w:sz w:val="22"/>
          <w:szCs w:val="22"/>
        </w:rPr>
        <w:t>Fracaso en Modernización: La meta de Modernización Institucional presenta una ejecución catastrófica (0.7%) y un recorte del 97% para 2026. Esto sugiere el abandono total de un proyecto estratégico de reingeniería institucional, o una grave incapacidad para ejecutarlo, cuestionando la efectividad del propio fortalecimiento gestionado.</w:t>
      </w:r>
    </w:p>
    <w:p w:rsidR="00743DA6" w:rsidRDefault="00D95D19">
      <w:pPr>
        <w:numPr>
          <w:ilvl w:val="0"/>
          <w:numId w:val="8"/>
        </w:numPr>
        <w:spacing w:after="240" w:line="259" w:lineRule="auto"/>
        <w:jc w:val="both"/>
        <w:rPr>
          <w:sz w:val="22"/>
          <w:szCs w:val="22"/>
        </w:rPr>
      </w:pPr>
      <w:r>
        <w:rPr>
          <w:sz w:val="22"/>
          <w:szCs w:val="22"/>
        </w:rPr>
        <w:t>Transparencia como Opción Prescindible: La meta de Transparencia sufre un recorte, confirmando la tendencia a la opacidad observada en el IMG.</w:t>
      </w:r>
    </w:p>
    <w:p w:rsidR="00743DA6" w:rsidRDefault="00D95D19">
      <w:pPr>
        <w:spacing w:before="240" w:after="240" w:line="259" w:lineRule="auto"/>
        <w:jc w:val="both"/>
      </w:pPr>
      <w:r>
        <w:rPr>
          <w:sz w:val="22"/>
          <w:szCs w:val="22"/>
        </w:rPr>
        <w:t>En síntesis, el presupuesto 2026 refleja una SDIS más grande y con mayor capacidad de gestión operativa, pero que pivota hacia un modelo que privilegia la asistencia económica temporal y el mantenimiento burocrático, en detrimento del fortalecimiento de una infraestructura pública y social sólida, preventiva, moderna y permanente. La evidencia a nivel de metas sugiere que este modelo puede estar ampliando la brecha entre la retórica de la inversión social y su impacto real, verificable y transformador en la población más vulnerable.</w:t>
      </w:r>
    </w:p>
    <w:p w:rsidR="00743DA6" w:rsidRDefault="00743DA6">
      <w:pPr>
        <w:pBdr>
          <w:top w:val="nil"/>
          <w:left w:val="nil"/>
          <w:bottom w:val="nil"/>
          <w:right w:val="nil"/>
          <w:between w:val="nil"/>
        </w:pBdr>
        <w:spacing w:line="259" w:lineRule="auto"/>
        <w:ind w:left="720"/>
        <w:rPr>
          <w:b/>
          <w:bCs/>
        </w:rPr>
      </w:pPr>
    </w:p>
    <w:p w:rsidR="00743DA6" w:rsidRDefault="00D95D19">
      <w:pPr>
        <w:spacing w:before="280" w:after="160" w:line="259" w:lineRule="auto"/>
        <w:jc w:val="both"/>
        <w:rPr>
          <w:b/>
          <w:bCs/>
        </w:rPr>
      </w:pPr>
      <w:r>
        <w:rPr>
          <w:b/>
          <w:bCs/>
        </w:rPr>
        <w:t>Instituto Distrital para la Protección de la Niñez y la Juventud – IDIPRON</w:t>
      </w:r>
    </w:p>
    <w:p w:rsidR="00743DA6" w:rsidRDefault="00D95D19">
      <w:pPr>
        <w:spacing w:before="240" w:after="240" w:line="259" w:lineRule="auto"/>
        <w:jc w:val="both"/>
        <w:rPr>
          <w:sz w:val="22"/>
          <w:szCs w:val="22"/>
        </w:rPr>
      </w:pPr>
      <w:r>
        <w:rPr>
          <w:sz w:val="22"/>
          <w:szCs w:val="22"/>
        </w:rPr>
        <w:t>Período de Análisis: 2022 - 2026 (Proyectado)</w:t>
      </w:r>
    </w:p>
    <w:p w:rsidR="00743DA6" w:rsidRDefault="00D95D19">
      <w:pPr>
        <w:spacing w:before="240" w:after="240" w:line="259" w:lineRule="auto"/>
        <w:jc w:val="both"/>
        <w:rPr>
          <w:sz w:val="22"/>
          <w:szCs w:val="22"/>
        </w:rPr>
      </w:pPr>
      <w:r>
        <w:rPr>
          <w:sz w:val="22"/>
          <w:szCs w:val="22"/>
        </w:rPr>
        <w:t>El IDIPRON enfrenta para el 2026 un punto de inflexión en su trayectoria financiera. Tras un ciclo de crecimiento presupuestal entre 2023 y 2025, el proyecto de presupuesto para el próximo año prevé una contracción del 5.65% ($6.897 millones de pesos), revirtiendo la tendencia reciente. Este recorte se concentra en la inversión directa (-8.38%). Este análisis evidencia un cambio estratégico en la asignación de recursos, priorizando la inclusión productiva y la operación administrativa, en detrimento de la atención protectora inmediata y el mantenimiento de la infraestructura. Es crucial señalar que la ejecución presupuestal de 2025 del 77.5% corresponde solo al acumulado a octubre, por lo que no constituye un dato definitivo de la gestión anual.</w:t>
      </w:r>
    </w:p>
    <w:p w:rsidR="00743DA6" w:rsidRDefault="00D95D19">
      <w:pPr>
        <w:spacing w:before="240" w:after="240" w:line="259" w:lineRule="auto"/>
        <w:jc w:val="both"/>
        <w:rPr>
          <w:b/>
          <w:bCs/>
          <w:sz w:val="22"/>
          <w:szCs w:val="22"/>
        </w:rPr>
      </w:pPr>
      <w:r>
        <w:rPr>
          <w:b/>
          <w:bCs/>
          <w:sz w:val="22"/>
          <w:szCs w:val="22"/>
        </w:rPr>
        <w:t>Análisis Histórico: Tendencia Presupuestal 2022-2025</w:t>
      </w:r>
    </w:p>
    <w:p w:rsidR="00743DA6" w:rsidRDefault="00D95D19">
      <w:pPr>
        <w:spacing w:before="240" w:after="240" w:line="259" w:lineRule="auto"/>
        <w:jc w:val="both"/>
        <w:rPr>
          <w:sz w:val="22"/>
          <w:szCs w:val="22"/>
        </w:rPr>
      </w:pPr>
      <w:r>
        <w:rPr>
          <w:sz w:val="22"/>
          <w:szCs w:val="22"/>
        </w:rPr>
        <w:t>La siguiente tabla presenta la evolución del presupuesto y la eficiencia en la ejecución de los recursos por giros.</w:t>
      </w:r>
    </w:p>
    <w:p w:rsidR="00743DA6" w:rsidRDefault="00D95D19">
      <w:pPr>
        <w:spacing w:before="240" w:after="240" w:line="259" w:lineRule="auto"/>
        <w:jc w:val="center"/>
        <w:rPr>
          <w:sz w:val="22"/>
          <w:szCs w:val="22"/>
        </w:rPr>
      </w:pPr>
      <w:r>
        <w:rPr>
          <w:sz w:val="22"/>
          <w:szCs w:val="22"/>
        </w:rPr>
        <w:t>Gráfico. Análisis Histórico: Tendencia Presupuestal 2022-2025</w:t>
      </w:r>
    </w:p>
    <w:p w:rsidR="00743DA6" w:rsidRDefault="00D95D19">
      <w:pPr>
        <w:spacing w:before="240" w:after="240" w:line="259" w:lineRule="auto"/>
        <w:jc w:val="center"/>
        <w:rPr>
          <w:sz w:val="22"/>
          <w:szCs w:val="22"/>
        </w:rPr>
      </w:pPr>
      <w:r>
        <w:rPr>
          <w:noProof/>
          <w:sz w:val="22"/>
          <w:szCs w:val="22"/>
          <w:lang w:val="es-CO"/>
        </w:rPr>
        <w:drawing>
          <wp:inline distT="114300" distB="114300" distL="114300" distR="114300">
            <wp:extent cx="4849178" cy="3490749"/>
            <wp:effectExtent l="0" t="0" r="0" b="0"/>
            <wp:docPr id="2127399572"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44"/>
                    <a:srcRect/>
                    <a:stretch>
                      <a:fillRect/>
                    </a:stretch>
                  </pic:blipFill>
                  <pic:spPr>
                    <a:xfrm>
                      <a:off x="0" y="0"/>
                      <a:ext cx="4849178" cy="3490749"/>
                    </a:xfrm>
                    <a:prstGeom prst="rect">
                      <a:avLst/>
                    </a:prstGeom>
                    <a:ln/>
                  </pic:spPr>
                </pic:pic>
              </a:graphicData>
            </a:graphic>
          </wp:inline>
        </w:drawing>
      </w:r>
    </w:p>
    <w:p w:rsidR="00743DA6" w:rsidRDefault="00D95D19">
      <w:pPr>
        <w:spacing w:before="240" w:after="240" w:line="259" w:lineRule="auto"/>
        <w:rPr>
          <w:sz w:val="22"/>
          <w:szCs w:val="22"/>
        </w:rPr>
      </w:pPr>
      <w:r>
        <w:rPr>
          <w:sz w:val="18"/>
          <w:szCs w:val="18"/>
        </w:rPr>
        <w:t>Fuente: Elaboración propia (2025) con base en la matriz comparativa de la SDH (2025)</w:t>
      </w:r>
    </w:p>
    <w:p w:rsidR="00743DA6" w:rsidRDefault="00D95D19">
      <w:pPr>
        <w:spacing w:before="240" w:after="240" w:line="259" w:lineRule="auto"/>
        <w:jc w:val="both"/>
        <w:rPr>
          <w:sz w:val="22"/>
          <w:szCs w:val="22"/>
        </w:rPr>
      </w:pPr>
      <w:r>
        <w:rPr>
          <w:sz w:val="22"/>
          <w:szCs w:val="22"/>
        </w:rPr>
        <w:t>Hallazgos Clave del Período Histórico:</w:t>
      </w:r>
    </w:p>
    <w:p w:rsidR="00743DA6" w:rsidRDefault="00D95D19">
      <w:pPr>
        <w:numPr>
          <w:ilvl w:val="0"/>
          <w:numId w:val="45"/>
        </w:numPr>
        <w:spacing w:line="259" w:lineRule="auto"/>
        <w:jc w:val="both"/>
        <w:rPr>
          <w:sz w:val="22"/>
          <w:szCs w:val="22"/>
        </w:rPr>
      </w:pPr>
      <w:r>
        <w:rPr>
          <w:b/>
          <w:bCs/>
          <w:sz w:val="22"/>
          <w:szCs w:val="22"/>
        </w:rPr>
        <w:t>Trayectoria Volátil</w:t>
      </w:r>
      <w:r>
        <w:rPr>
          <w:sz w:val="22"/>
          <w:szCs w:val="22"/>
        </w:rPr>
        <w:t>: El presupuesto no ha seguido una línea de crecimiento estable, con un recorte significativo en 2023.</w:t>
      </w:r>
    </w:p>
    <w:p w:rsidR="00743DA6" w:rsidRDefault="00D95D19">
      <w:pPr>
        <w:numPr>
          <w:ilvl w:val="0"/>
          <w:numId w:val="45"/>
        </w:numPr>
        <w:spacing w:line="259" w:lineRule="auto"/>
        <w:jc w:val="both"/>
        <w:rPr>
          <w:sz w:val="22"/>
          <w:szCs w:val="22"/>
        </w:rPr>
      </w:pPr>
      <w:r>
        <w:rPr>
          <w:b/>
          <w:bCs/>
          <w:sz w:val="22"/>
          <w:szCs w:val="22"/>
        </w:rPr>
        <w:t>Contexto del Recorte 2026</w:t>
      </w:r>
      <w:r>
        <w:rPr>
          <w:sz w:val="22"/>
          <w:szCs w:val="22"/>
        </w:rPr>
        <w:t>: La proyección de un presupuesto menor para 2026 parece responder más a una decisión de política fiscal distrital que a un castigo por desempeño.</w:t>
      </w:r>
    </w:p>
    <w:p w:rsidR="00743DA6" w:rsidRDefault="00D95D19">
      <w:pPr>
        <w:numPr>
          <w:ilvl w:val="0"/>
          <w:numId w:val="45"/>
        </w:numPr>
        <w:spacing w:line="259" w:lineRule="auto"/>
        <w:jc w:val="both"/>
        <w:rPr>
          <w:rFonts w:ascii="Aptos" w:eastAsia="Aptos" w:hAnsi="Aptos" w:cs="Aptos"/>
          <w:sz w:val="22"/>
          <w:szCs w:val="22"/>
        </w:rPr>
      </w:pPr>
      <w:r>
        <w:rPr>
          <w:b/>
          <w:bCs/>
          <w:sz w:val="22"/>
          <w:szCs w:val="22"/>
        </w:rPr>
        <w:t>Crecimiento en Funcionamiento:</w:t>
      </w:r>
      <w:r>
        <w:rPr>
          <w:sz w:val="22"/>
          <w:szCs w:val="22"/>
        </w:rPr>
        <w:t xml:space="preserve"> El leve aumento (+2.03%) está dominado por los gastos de personal, que absorben el </w:t>
      </w:r>
      <w:r>
        <w:rPr>
          <w:b/>
          <w:bCs/>
          <w:sz w:val="22"/>
          <w:szCs w:val="22"/>
        </w:rPr>
        <w:t>93% del total de funcionamiento</w:t>
      </w:r>
      <w:r>
        <w:rPr>
          <w:sz w:val="22"/>
          <w:szCs w:val="22"/>
        </w:rPr>
        <w:t>, indicando una estructura rígida. Que básicamente se focaliza en transporte, combustible, contratación, aseo, cafetería, contrato de vigilancia y todas las gerencias.</w:t>
      </w:r>
    </w:p>
    <w:p w:rsidR="00743DA6" w:rsidRDefault="00D95D19">
      <w:pPr>
        <w:numPr>
          <w:ilvl w:val="0"/>
          <w:numId w:val="45"/>
        </w:numPr>
        <w:spacing w:after="240" w:line="259" w:lineRule="auto"/>
        <w:jc w:val="both"/>
        <w:rPr>
          <w:rFonts w:ascii="Aptos" w:eastAsia="Aptos" w:hAnsi="Aptos" w:cs="Aptos"/>
          <w:sz w:val="22"/>
          <w:szCs w:val="22"/>
        </w:rPr>
      </w:pPr>
      <w:r>
        <w:rPr>
          <w:b/>
          <w:bCs/>
          <w:sz w:val="22"/>
          <w:szCs w:val="22"/>
        </w:rPr>
        <w:t>Fuerte Contracción de la Inversión:</w:t>
      </w:r>
      <w:r>
        <w:rPr>
          <w:sz w:val="22"/>
          <w:szCs w:val="22"/>
        </w:rPr>
        <w:t xml:space="preserve"> El recorte del 8.38% en inversión directa es el que impulsa la reducción global. Esto limita la capacidad de desarrollar nuevos proyectos, mantener la infraestructura y atender a la población.</w:t>
      </w:r>
    </w:p>
    <w:p w:rsidR="00743DA6" w:rsidRDefault="00D95D19">
      <w:pPr>
        <w:spacing w:before="240" w:after="240" w:line="259" w:lineRule="auto"/>
        <w:jc w:val="both"/>
        <w:rPr>
          <w:b/>
          <w:bCs/>
          <w:sz w:val="22"/>
          <w:szCs w:val="22"/>
        </w:rPr>
      </w:pPr>
      <w:r>
        <w:rPr>
          <w:b/>
          <w:bCs/>
          <w:sz w:val="22"/>
          <w:szCs w:val="22"/>
        </w:rPr>
        <w:t>3. Estructura Presupuestal 2026: Composición y Comparativo</w:t>
      </w:r>
    </w:p>
    <w:p w:rsidR="00743DA6" w:rsidRDefault="00D95D19">
      <w:pPr>
        <w:spacing w:before="240" w:after="240" w:line="259" w:lineRule="auto"/>
        <w:jc w:val="both"/>
        <w:rPr>
          <w:sz w:val="22"/>
          <w:szCs w:val="22"/>
        </w:rPr>
      </w:pPr>
      <w:r>
        <w:rPr>
          <w:sz w:val="22"/>
          <w:szCs w:val="22"/>
        </w:rPr>
        <w:t xml:space="preserve">El presupuesto 2026 del IDIPRON asciende a </w:t>
      </w:r>
      <w:r>
        <w:rPr>
          <w:b/>
          <w:bCs/>
          <w:sz w:val="22"/>
          <w:szCs w:val="22"/>
        </w:rPr>
        <w:t>$115.099 millones</w:t>
      </w:r>
      <w:r>
        <w:rPr>
          <w:sz w:val="22"/>
          <w:szCs w:val="22"/>
        </w:rPr>
        <w:t>, con una estructura que prioriza la inversión, aunque esta se reduce significativamente.</w:t>
      </w:r>
    </w:p>
    <w:p w:rsidR="00743DA6" w:rsidRDefault="00D95D19">
      <w:pPr>
        <w:spacing w:before="240" w:after="240" w:line="259" w:lineRule="auto"/>
        <w:jc w:val="center"/>
        <w:rPr>
          <w:sz w:val="22"/>
          <w:szCs w:val="22"/>
        </w:rPr>
      </w:pPr>
      <w:r>
        <w:rPr>
          <w:b/>
          <w:bCs/>
          <w:sz w:val="22"/>
          <w:szCs w:val="22"/>
        </w:rPr>
        <w:t>Tabla No. 52.</w:t>
      </w:r>
      <w:r>
        <w:rPr>
          <w:sz w:val="22"/>
          <w:szCs w:val="22"/>
        </w:rPr>
        <w:t xml:space="preserve"> Estructura Presupuestal 2026: Composición y Comparativo</w:t>
      </w:r>
    </w:p>
    <w:p w:rsidR="00743DA6" w:rsidRDefault="00743DA6">
      <w:pPr>
        <w:rPr>
          <w:sz w:val="18"/>
          <w:szCs w:val="18"/>
        </w:rPr>
      </w:pPr>
    </w:p>
    <w:tbl>
      <w:tblPr>
        <w:tblStyle w:val="afffffffe"/>
        <w:tblpPr w:leftFromText="180" w:rightFromText="180" w:topFromText="180" w:bottomFromText="180" w:vertAnchor="text" w:tblpX="-320" w:tblpY="7"/>
        <w:tblW w:w="9915" w:type="dxa"/>
        <w:tblBorders>
          <w:top w:val="nil"/>
          <w:left w:val="nil"/>
          <w:bottom w:val="nil"/>
          <w:right w:val="nil"/>
          <w:insideH w:val="nil"/>
          <w:insideV w:val="nil"/>
        </w:tblBorders>
        <w:tblLayout w:type="fixed"/>
        <w:tblLook w:val="0600" w:firstRow="0" w:lastRow="0" w:firstColumn="0" w:lastColumn="0" w:noHBand="1" w:noVBand="1"/>
      </w:tblPr>
      <w:tblGrid>
        <w:gridCol w:w="4125"/>
        <w:gridCol w:w="1170"/>
        <w:gridCol w:w="975"/>
        <w:gridCol w:w="990"/>
        <w:gridCol w:w="1110"/>
        <w:gridCol w:w="1545"/>
      </w:tblGrid>
      <w:tr w:rsidR="00743DA6">
        <w:trPr>
          <w:trHeight w:val="645"/>
        </w:trPr>
        <w:tc>
          <w:tcPr>
            <w:tcW w:w="412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Etiquetas de fila</w:t>
            </w:r>
          </w:p>
        </w:tc>
        <w:tc>
          <w:tcPr>
            <w:tcW w:w="117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COMPROMISOS 2025</w:t>
            </w:r>
          </w:p>
        </w:tc>
        <w:tc>
          <w:tcPr>
            <w:tcW w:w="97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GIROS 2025</w:t>
            </w:r>
          </w:p>
        </w:tc>
        <w:tc>
          <w:tcPr>
            <w:tcW w:w="99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Programado 2025</w:t>
            </w:r>
          </w:p>
          <w:p w:rsidR="00743DA6" w:rsidRDefault="00D95D19">
            <w:pPr>
              <w:rPr>
                <w:rFonts w:ascii="Arial" w:eastAsia="Arial" w:hAnsi="Arial" w:cs="Arial"/>
                <w:sz w:val="18"/>
                <w:szCs w:val="18"/>
              </w:rPr>
            </w:pPr>
            <w:r>
              <w:rPr>
                <w:rFonts w:ascii="Arial" w:eastAsia="Arial" w:hAnsi="Arial" w:cs="Arial"/>
                <w:sz w:val="18"/>
                <w:szCs w:val="18"/>
              </w:rPr>
              <w:t xml:space="preserve"> </w:t>
            </w:r>
          </w:p>
        </w:tc>
        <w:tc>
          <w:tcPr>
            <w:tcW w:w="111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Programado 2026</w:t>
            </w:r>
          </w:p>
          <w:p w:rsidR="00743DA6" w:rsidRDefault="00743DA6">
            <w:pPr>
              <w:rPr>
                <w:rFonts w:ascii="Arial" w:eastAsia="Arial" w:hAnsi="Arial" w:cs="Arial"/>
                <w:sz w:val="18"/>
                <w:szCs w:val="18"/>
              </w:rPr>
            </w:pPr>
          </w:p>
        </w:tc>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Suma de Diferencia 2025-2026</w:t>
            </w:r>
          </w:p>
        </w:tc>
      </w:tr>
      <w:tr w:rsidR="00743DA6">
        <w:trPr>
          <w:trHeight w:val="785"/>
        </w:trPr>
        <w:tc>
          <w:tcPr>
            <w:tcW w:w="412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Prestación de servicios de apoyo y gestión administrativa e institucional del IDIPRON Bogotá D.C.</w:t>
            </w:r>
          </w:p>
        </w:tc>
        <w:tc>
          <w:tcPr>
            <w:tcW w:w="117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19.005,784</w:t>
            </w:r>
          </w:p>
        </w:tc>
        <w:tc>
          <w:tcPr>
            <w:tcW w:w="97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16.306,455</w:t>
            </w:r>
          </w:p>
        </w:tc>
        <w:tc>
          <w:tcPr>
            <w:tcW w:w="99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20.618,396</w:t>
            </w:r>
          </w:p>
        </w:tc>
        <w:tc>
          <w:tcPr>
            <w:tcW w:w="111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22.220,400</w:t>
            </w:r>
          </w:p>
        </w:tc>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1.602,004</w:t>
            </w:r>
          </w:p>
        </w:tc>
      </w:tr>
      <w:tr w:rsidR="00743DA6">
        <w:trPr>
          <w:trHeight w:val="785"/>
        </w:trPr>
        <w:tc>
          <w:tcPr>
            <w:tcW w:w="412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Optimización de la Infraestructura Física de Unidades de Protección Integral y dependencias del IDIPRON Bogotá D.C</w:t>
            </w:r>
          </w:p>
        </w:tc>
        <w:tc>
          <w:tcPr>
            <w:tcW w:w="117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1.141,429</w:t>
            </w:r>
          </w:p>
        </w:tc>
        <w:tc>
          <w:tcPr>
            <w:tcW w:w="97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786,654</w:t>
            </w:r>
          </w:p>
        </w:tc>
        <w:tc>
          <w:tcPr>
            <w:tcW w:w="99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2.711,814</w:t>
            </w:r>
          </w:p>
        </w:tc>
        <w:tc>
          <w:tcPr>
            <w:tcW w:w="111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1.882,700</w:t>
            </w:r>
          </w:p>
        </w:tc>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829,114</w:t>
            </w:r>
          </w:p>
        </w:tc>
      </w:tr>
      <w:tr w:rsidR="00743DA6">
        <w:trPr>
          <w:trHeight w:val="785"/>
        </w:trPr>
        <w:tc>
          <w:tcPr>
            <w:tcW w:w="412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Fortalecimiento de la infraestructura tecnológica y de comunicaciones del IDIPRON Bogotá D.C</w:t>
            </w:r>
          </w:p>
        </w:tc>
        <w:tc>
          <w:tcPr>
            <w:tcW w:w="117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3.322,816</w:t>
            </w:r>
          </w:p>
        </w:tc>
        <w:tc>
          <w:tcPr>
            <w:tcW w:w="97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1.366,597</w:t>
            </w:r>
          </w:p>
        </w:tc>
        <w:tc>
          <w:tcPr>
            <w:tcW w:w="99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6.189,000</w:t>
            </w:r>
          </w:p>
        </w:tc>
        <w:tc>
          <w:tcPr>
            <w:tcW w:w="111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4.959,000</w:t>
            </w:r>
          </w:p>
        </w:tc>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1.230,000</w:t>
            </w:r>
          </w:p>
        </w:tc>
      </w:tr>
      <w:tr w:rsidR="00743DA6">
        <w:trPr>
          <w:trHeight w:val="785"/>
        </w:trPr>
        <w:tc>
          <w:tcPr>
            <w:tcW w:w="412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Mejoramiento de capacidades y oportunidades a jóvenes inmersos en formas extremas de exclusión, asociados al fenómeno de habitabilidad en calle, para su integración productiva y social. Bogotá D.C.</w:t>
            </w:r>
          </w:p>
        </w:tc>
        <w:tc>
          <w:tcPr>
            <w:tcW w:w="117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18.539,150</w:t>
            </w:r>
          </w:p>
        </w:tc>
        <w:tc>
          <w:tcPr>
            <w:tcW w:w="97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13.049,012</w:t>
            </w:r>
          </w:p>
        </w:tc>
        <w:tc>
          <w:tcPr>
            <w:tcW w:w="99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35.383,545</w:t>
            </w:r>
          </w:p>
        </w:tc>
        <w:tc>
          <w:tcPr>
            <w:tcW w:w="111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32.966,500</w:t>
            </w:r>
          </w:p>
        </w:tc>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2.417,045</w:t>
            </w:r>
          </w:p>
        </w:tc>
      </w:tr>
      <w:tr w:rsidR="00743DA6">
        <w:trPr>
          <w:trHeight w:val="785"/>
        </w:trPr>
        <w:tc>
          <w:tcPr>
            <w:tcW w:w="412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Prevención, Atención y Protección integral a Niñez, Adolescencia y Juventud en formas de exclusión extrema asociados al Fenómeno de habitabilidad en calle Bogotá D.C.</w:t>
            </w:r>
          </w:p>
        </w:tc>
        <w:tc>
          <w:tcPr>
            <w:tcW w:w="117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26.531,990</w:t>
            </w:r>
          </w:p>
        </w:tc>
        <w:tc>
          <w:tcPr>
            <w:tcW w:w="97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14.592,558</w:t>
            </w:r>
          </w:p>
        </w:tc>
        <w:tc>
          <w:tcPr>
            <w:tcW w:w="99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27.964,986</w:t>
            </w:r>
          </w:p>
        </w:tc>
        <w:tc>
          <w:tcPr>
            <w:tcW w:w="111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20.458,141</w:t>
            </w:r>
          </w:p>
        </w:tc>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7.506,845</w:t>
            </w:r>
          </w:p>
        </w:tc>
      </w:tr>
      <w:tr w:rsidR="00743DA6">
        <w:trPr>
          <w:trHeight w:val="785"/>
        </w:trPr>
        <w:tc>
          <w:tcPr>
            <w:tcW w:w="412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Total general</w:t>
            </w:r>
          </w:p>
        </w:tc>
        <w:tc>
          <w:tcPr>
            <w:tcW w:w="117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68.541,169</w:t>
            </w:r>
          </w:p>
        </w:tc>
        <w:tc>
          <w:tcPr>
            <w:tcW w:w="97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46.101,276</w:t>
            </w:r>
          </w:p>
        </w:tc>
        <w:tc>
          <w:tcPr>
            <w:tcW w:w="99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92.867,740</w:t>
            </w:r>
          </w:p>
        </w:tc>
        <w:tc>
          <w:tcPr>
            <w:tcW w:w="1110"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  82.486,741</w:t>
            </w:r>
          </w:p>
        </w:tc>
        <w:tc>
          <w:tcPr>
            <w:tcW w:w="1545" w:type="dxa"/>
            <w:tcBorders>
              <w:top w:val="single" w:sz="5" w:space="0" w:color="000000"/>
              <w:left w:val="single" w:sz="5" w:space="0" w:color="000000"/>
              <w:bottom w:val="single" w:sz="5" w:space="0" w:color="000000"/>
              <w:right w:val="single" w:sz="5" w:space="0" w:color="000000"/>
            </w:tcBorders>
          </w:tcPr>
          <w:p w:rsidR="00743DA6" w:rsidRDefault="00D95D19">
            <w:pPr>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10.380,999</w:t>
            </w:r>
          </w:p>
        </w:tc>
      </w:tr>
    </w:tbl>
    <w:p w:rsidR="00743DA6" w:rsidRDefault="00D95D19">
      <w:pPr>
        <w:spacing w:before="240" w:after="240" w:line="259" w:lineRule="auto"/>
        <w:rPr>
          <w:sz w:val="22"/>
          <w:szCs w:val="22"/>
        </w:rPr>
      </w:pPr>
      <w:r>
        <w:rPr>
          <w:sz w:val="18"/>
          <w:szCs w:val="18"/>
        </w:rPr>
        <w:t>Fuente: Elaboración propia (2025) con base en la matriz comparativa de la SDH (2025)</w:t>
      </w:r>
    </w:p>
    <w:p w:rsidR="00743DA6" w:rsidRDefault="00D95D19">
      <w:pPr>
        <w:spacing w:before="240" w:after="240" w:line="259" w:lineRule="auto"/>
        <w:jc w:val="center"/>
        <w:rPr>
          <w:sz w:val="22"/>
          <w:szCs w:val="22"/>
        </w:rPr>
      </w:pPr>
      <w:r>
        <w:rPr>
          <w:b/>
          <w:bCs/>
          <w:sz w:val="22"/>
          <w:szCs w:val="22"/>
        </w:rPr>
        <w:t>Tabla No. 53</w:t>
      </w:r>
      <w:r>
        <w:rPr>
          <w:sz w:val="22"/>
          <w:szCs w:val="22"/>
        </w:rPr>
        <w:t>. Productos y metas físicas del IDIPRON</w:t>
      </w:r>
    </w:p>
    <w:sdt>
      <w:sdtPr>
        <w:rPr>
          <w:rFonts w:ascii="Arial" w:eastAsia="Arial" w:hAnsi="Arial" w:cs="Arial"/>
          <w:sz w:val="24"/>
          <w:szCs w:val="24"/>
          <w:lang w:val="es" w:eastAsia="es-CO"/>
        </w:rPr>
        <w:tag w:val="goog_rdk_898"/>
        <w:id w:val="1663782935"/>
        <w:lock w:val="contentLocked"/>
      </w:sdtPr>
      <w:sdtEndPr/>
      <w:sdtContent>
        <w:tbl>
          <w:tblPr>
            <w:tblStyle w:val="affffffff"/>
            <w:tblW w:w="10140" w:type="dxa"/>
            <w:tblInd w:w="-525" w:type="dxa"/>
            <w:tblBorders>
              <w:top w:val="nil"/>
              <w:left w:val="nil"/>
              <w:bottom w:val="nil"/>
              <w:right w:val="nil"/>
              <w:insideH w:val="nil"/>
              <w:insideV w:val="nil"/>
            </w:tblBorders>
            <w:tblLayout w:type="fixed"/>
            <w:tblLook w:val="0600" w:firstRow="0" w:lastRow="0" w:firstColumn="0" w:lastColumn="0" w:noHBand="1" w:noVBand="1"/>
          </w:tblPr>
          <w:tblGrid>
            <w:gridCol w:w="2505"/>
            <w:gridCol w:w="1755"/>
            <w:gridCol w:w="1260"/>
            <w:gridCol w:w="1260"/>
            <w:gridCol w:w="945"/>
            <w:gridCol w:w="2415"/>
          </w:tblGrid>
          <w:tr w:rsidR="00743DA6">
            <w:trPr>
              <w:trHeight w:val="15"/>
            </w:trPr>
            <w:tc>
              <w:tcPr>
                <w:tcW w:w="250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w:t>
                </w:r>
              </w:p>
            </w:tc>
            <w:tc>
              <w:tcPr>
                <w:tcW w:w="175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Producto / Meta Física</w:t>
                </w:r>
              </w:p>
            </w:tc>
            <w:tc>
              <w:tcPr>
                <w:tcW w:w="126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Presupuesto 2025</w:t>
                </w:r>
              </w:p>
            </w:tc>
            <w:tc>
              <w:tcPr>
                <w:tcW w:w="126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Presupuesto 2026</w:t>
                </w:r>
              </w:p>
            </w:tc>
            <w:tc>
              <w:tcPr>
                <w:tcW w:w="94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Variación</w:t>
                </w:r>
              </w:p>
            </w:tc>
            <w:tc>
              <w:tcPr>
                <w:tcW w:w="2415"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Impacto en la Misión</w:t>
                </w:r>
              </w:p>
            </w:tc>
          </w:tr>
          <w:tr w:rsidR="00743DA6">
            <w:trPr>
              <w:trHeight w:val="750"/>
            </w:trPr>
            <w:tc>
              <w:tcPr>
                <w:tcW w:w="2505" w:type="dxa"/>
                <w:vMerge w:val="restart"/>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NÚCLEO MISIONAL: ATENCIÓN Y PROTECCIÓN</w:t>
                </w:r>
              </w:p>
              <w:p w:rsidR="00743DA6" w:rsidRDefault="00743DA6">
                <w:pPr>
                  <w:jc w:val="both"/>
                  <w:rPr>
                    <w:rFonts w:ascii="Arial" w:eastAsia="Arial" w:hAnsi="Arial" w:cs="Arial"/>
                    <w:sz w:val="18"/>
                    <w:szCs w:val="18"/>
                  </w:rPr>
                </w:pPr>
              </w:p>
              <w:p w:rsidR="00743DA6" w:rsidRDefault="00D95D19">
                <w:pPr>
                  <w:jc w:val="both"/>
                  <w:rPr>
                    <w:rFonts w:ascii="Arial" w:eastAsia="Arial" w:hAnsi="Arial" w:cs="Arial"/>
                    <w:sz w:val="18"/>
                    <w:szCs w:val="18"/>
                  </w:rPr>
                </w:pPr>
                <w:r>
                  <w:rPr>
                    <w:rFonts w:ascii="Arial" w:eastAsia="Arial" w:hAnsi="Arial" w:cs="Arial"/>
                    <w:sz w:val="18"/>
                    <w:szCs w:val="18"/>
                  </w:rPr>
                  <w:t>Prevención, Atención y Protección integral a Niñez, Adolescencia y Juventud en formas de exclusión extrema asociados al Fenómeno de habitabilidad en calle Bogotá D.C.</w:t>
                </w:r>
              </w:p>
            </w:tc>
            <w:tc>
              <w:tcPr>
                <w:tcW w:w="17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241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r>
          <w:tr w:rsidR="00743DA6">
            <w:trPr>
              <w:trHeight w:val="750"/>
            </w:trPr>
            <w:tc>
              <w:tcPr>
                <w:tcW w:w="2505" w:type="dxa"/>
                <w:vMerge/>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743DA6">
                <w:pPr>
                  <w:pBdr>
                    <w:top w:val="nil"/>
                    <w:left w:val="nil"/>
                    <w:bottom w:val="nil"/>
                    <w:right w:val="nil"/>
                    <w:between w:val="nil"/>
                  </w:pBdr>
                  <w:spacing w:line="276" w:lineRule="auto"/>
                  <w:rPr>
                    <w:rFonts w:ascii="Arial" w:eastAsia="Arial" w:hAnsi="Arial" w:cs="Arial"/>
                    <w:sz w:val="18"/>
                    <w:szCs w:val="18"/>
                  </w:rPr>
                </w:pPr>
              </w:p>
            </w:tc>
            <w:tc>
              <w:tcPr>
                <w:tcW w:w="17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Atender a 385 NNA en conflicto con la ley</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$451 M</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$348 M</w:t>
                </w: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-28.4%</w:t>
                </w:r>
              </w:p>
            </w:tc>
            <w:tc>
              <w:tcPr>
                <w:tcW w:w="241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Reducción crítica en justicia juvenil restaurativa.</w:t>
                </w:r>
              </w:p>
            </w:tc>
          </w:tr>
          <w:tr w:rsidR="00743DA6">
            <w:trPr>
              <w:trHeight w:val="750"/>
            </w:trPr>
            <w:tc>
              <w:tcPr>
                <w:tcW w:w="2505" w:type="dxa"/>
                <w:vMerge/>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743DA6">
                <w:pPr>
                  <w:pBdr>
                    <w:top w:val="nil"/>
                    <w:left w:val="nil"/>
                    <w:bottom w:val="nil"/>
                    <w:right w:val="nil"/>
                    <w:between w:val="nil"/>
                  </w:pBdr>
                  <w:spacing w:line="276" w:lineRule="auto"/>
                  <w:rPr>
                    <w:rFonts w:ascii="Arial" w:eastAsia="Arial" w:hAnsi="Arial" w:cs="Arial"/>
                    <w:sz w:val="18"/>
                    <w:szCs w:val="18"/>
                  </w:rPr>
                </w:pPr>
              </w:p>
            </w:tc>
            <w:tc>
              <w:tcPr>
                <w:tcW w:w="17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Atender a 18,675 NNAJ en situación de calle</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$25.364 M</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$19.558 M</w:t>
                </w: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-28.3%</w:t>
                </w:r>
              </w:p>
            </w:tc>
            <w:tc>
              <w:tcPr>
                <w:tcW w:w="241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Recorte severo al corazón de la misión del IDIPRON.</w:t>
                </w:r>
              </w:p>
            </w:tc>
          </w:tr>
          <w:tr w:rsidR="00743DA6">
            <w:trPr>
              <w:trHeight w:val="750"/>
            </w:trPr>
            <w:tc>
              <w:tcPr>
                <w:tcW w:w="2505" w:type="dxa"/>
                <w:vMerge/>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743DA6">
                <w:pPr>
                  <w:pBdr>
                    <w:top w:val="nil"/>
                    <w:left w:val="nil"/>
                    <w:bottom w:val="nil"/>
                    <w:right w:val="nil"/>
                    <w:between w:val="nil"/>
                  </w:pBdr>
                  <w:spacing w:line="276" w:lineRule="auto"/>
                  <w:rPr>
                    <w:rFonts w:ascii="Arial" w:eastAsia="Arial" w:hAnsi="Arial" w:cs="Arial"/>
                    <w:sz w:val="18"/>
                    <w:szCs w:val="18"/>
                  </w:rPr>
                </w:pPr>
              </w:p>
            </w:tc>
            <w:tc>
              <w:tcPr>
                <w:tcW w:w="17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Atender a 485 NNA víctimas de ESCNNA</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$717 M</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$552 M</w:t>
                </w: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-28.3%</w:t>
                </w:r>
              </w:p>
            </w:tc>
            <w:tc>
              <w:tcPr>
                <w:tcW w:w="241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Desprotección para población en extrema vulnerabilidad.</w:t>
                </w:r>
              </w:p>
            </w:tc>
          </w:tr>
          <w:tr w:rsidR="00743DA6">
            <w:trPr>
              <w:trHeight w:val="555"/>
            </w:trPr>
            <w:tc>
              <w:tcPr>
                <w:tcW w:w="25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NÚCLEO DE INSERCIÓN SOCIAL</w:t>
                </w:r>
              </w:p>
            </w:tc>
            <w:tc>
              <w:tcPr>
                <w:tcW w:w="17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241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r>
          <w:tr w:rsidR="00743DA6">
            <w:trPr>
              <w:trHeight w:val="750"/>
            </w:trPr>
            <w:tc>
              <w:tcPr>
                <w:tcW w:w="25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w:t>
                </w:r>
              </w:p>
            </w:tc>
            <w:tc>
              <w:tcPr>
                <w:tcW w:w="17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Integrar a 2,480 jóvenes</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$18.539 M</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$32.967 M</w:t>
                </w: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+15.0%</w:t>
                </w:r>
              </w:p>
            </w:tc>
            <w:tc>
              <w:tcPr>
                <w:tcW w:w="241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Único programa en crecimiento. Re-enfoque hacia la productividad.</w:t>
                </w:r>
              </w:p>
            </w:tc>
          </w:tr>
          <w:tr w:rsidR="00743DA6">
            <w:trPr>
              <w:trHeight w:val="555"/>
            </w:trPr>
            <w:tc>
              <w:tcPr>
                <w:tcW w:w="25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NÚCLEO DE APOYO INSTITUCIONAL</w:t>
                </w:r>
              </w:p>
            </w:tc>
            <w:tc>
              <w:tcPr>
                <w:tcW w:w="17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c>
              <w:tcPr>
                <w:tcW w:w="241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743DA6">
                <w:pPr>
                  <w:jc w:val="both"/>
                  <w:rPr>
                    <w:rFonts w:ascii="Arial" w:eastAsia="Arial" w:hAnsi="Arial" w:cs="Arial"/>
                    <w:sz w:val="18"/>
                    <w:szCs w:val="18"/>
                  </w:rPr>
                </w:pPr>
              </w:p>
            </w:tc>
          </w:tr>
          <w:tr w:rsidR="00743DA6">
            <w:trPr>
              <w:trHeight w:val="555"/>
            </w:trPr>
            <w:tc>
              <w:tcPr>
                <w:tcW w:w="25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 Optimización de la Infraestructura Física de Unidades de Protección Integral y dependencias del IDIPRON Bogotá D.C</w:t>
                </w:r>
              </w:p>
            </w:tc>
            <w:tc>
              <w:tcPr>
                <w:tcW w:w="17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Adecuar y mantener 22 Unidades</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$1.141 M</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$1.883 M</w:t>
                </w: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-30.5%</w:t>
                </w:r>
              </w:p>
            </w:tc>
            <w:tc>
              <w:tcPr>
                <w:tcW w:w="241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Infraestructura en riesgo de deterioro.</w:t>
                </w:r>
              </w:p>
            </w:tc>
          </w:tr>
          <w:tr w:rsidR="00743DA6">
            <w:trPr>
              <w:trHeight w:val="1515"/>
            </w:trPr>
            <w:tc>
              <w:tcPr>
                <w:tcW w:w="25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w:t>
                </w:r>
              </w:p>
            </w:tc>
            <w:tc>
              <w:tcPr>
                <w:tcW w:w="17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Servicios administrativos (100%)</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$19.006 M</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$22.220 M</w:t>
                </w: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+7.8%</w:t>
                </w:r>
              </w:p>
            </w:tc>
            <w:tc>
              <w:tcPr>
                <w:tcW w:w="241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Se prioriza la operación administrativa. En la socialización se menciona que son aumentos debido a la reforma laboral y el alza anual que tiene el salario mínimo</w:t>
                </w:r>
              </w:p>
            </w:tc>
          </w:tr>
          <w:tr w:rsidR="00743DA6">
            <w:trPr>
              <w:trHeight w:val="750"/>
            </w:trPr>
            <w:tc>
              <w:tcPr>
                <w:tcW w:w="250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w:t>
                </w:r>
              </w:p>
            </w:tc>
            <w:tc>
              <w:tcPr>
                <w:tcW w:w="175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Reducir obsolescencia tecnológica en 4%</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$3.323 M</w:t>
                </w:r>
              </w:p>
            </w:tc>
            <w:tc>
              <w:tcPr>
                <w:tcW w:w="1260"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$4.959 M</w:t>
                </w:r>
              </w:p>
            </w:tc>
            <w:tc>
              <w:tcPr>
                <w:tcW w:w="94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-19.9%</w:t>
                </w:r>
              </w:p>
            </w:tc>
            <w:tc>
              <w:tcPr>
                <w:tcW w:w="2415" w:type="dxa"/>
                <w:tcBorders>
                  <w:top w:val="nil"/>
                  <w:left w:val="nil"/>
                  <w:bottom w:val="single" w:sz="5" w:space="0" w:color="000000"/>
                  <w:right w:val="single" w:sz="5" w:space="0" w:color="000000"/>
                </w:tcBorders>
                <w:tcMar>
                  <w:top w:w="0" w:type="dxa"/>
                  <w:left w:w="100" w:type="dxa"/>
                  <w:bottom w:w="0" w:type="dxa"/>
                  <w:right w:w="100" w:type="dxa"/>
                </w:tcMar>
              </w:tcPr>
              <w:p w:rsidR="00743DA6" w:rsidRDefault="00D95D19">
                <w:pPr>
                  <w:jc w:val="both"/>
                  <w:rPr>
                    <w:rFonts w:ascii="Arial" w:eastAsia="Arial" w:hAnsi="Arial" w:cs="Arial"/>
                    <w:sz w:val="18"/>
                    <w:szCs w:val="18"/>
                  </w:rPr>
                </w:pPr>
                <w:r>
                  <w:rPr>
                    <w:rFonts w:ascii="Arial" w:eastAsia="Arial" w:hAnsi="Arial" w:cs="Arial"/>
                    <w:sz w:val="18"/>
                    <w:szCs w:val="18"/>
                  </w:rPr>
                  <w:t>Mayor rezago tecnológico y riesgo operativo.</w:t>
                </w:r>
              </w:p>
            </w:tc>
          </w:tr>
        </w:tbl>
      </w:sdtContent>
    </w:sdt>
    <w:p w:rsidR="00743DA6" w:rsidRDefault="00D95D19">
      <w:pPr>
        <w:spacing w:before="240" w:after="240" w:line="259" w:lineRule="auto"/>
        <w:rPr>
          <w:b/>
          <w:bCs/>
          <w:sz w:val="18"/>
          <w:szCs w:val="18"/>
        </w:rPr>
      </w:pPr>
      <w:r>
        <w:rPr>
          <w:sz w:val="18"/>
          <w:szCs w:val="18"/>
        </w:rPr>
        <w:t>Fuente: Elaboración propia (2025) con base en la matriz comparativa de la SDH (2025)</w:t>
      </w:r>
    </w:p>
    <w:p w:rsidR="00743DA6" w:rsidRDefault="00D95D19">
      <w:pPr>
        <w:spacing w:before="240" w:after="240" w:line="259" w:lineRule="auto"/>
        <w:jc w:val="both"/>
        <w:rPr>
          <w:b/>
          <w:bCs/>
          <w:sz w:val="18"/>
          <w:szCs w:val="18"/>
        </w:rPr>
      </w:pPr>
      <w:r>
        <w:rPr>
          <w:b/>
          <w:bCs/>
          <w:sz w:val="18"/>
          <w:szCs w:val="18"/>
        </w:rPr>
        <w:t>Hallazgos Clave del Análisis Particular:</w:t>
      </w:r>
    </w:p>
    <w:p w:rsidR="00743DA6" w:rsidRDefault="00D95D19">
      <w:pPr>
        <w:numPr>
          <w:ilvl w:val="0"/>
          <w:numId w:val="6"/>
        </w:numPr>
        <w:jc w:val="both"/>
        <w:rPr>
          <w:sz w:val="22"/>
          <w:szCs w:val="22"/>
        </w:rPr>
      </w:pPr>
      <w:r>
        <w:rPr>
          <w:sz w:val="22"/>
          <w:szCs w:val="22"/>
        </w:rPr>
        <w:t>Desinversión en Protección Básica: Los tres programas de atención directa y protección sufren recortes idénticos y drásticos (-28%). Aunque las metas de cobertura se mantengan, la calidad y profundidad de la intervención por beneficiario se verá inevitablemente mermada. Esta desfinanciación afecta la misionalidad directa de la entidad</w:t>
      </w:r>
    </w:p>
    <w:p w:rsidR="00743DA6" w:rsidRDefault="00D95D19">
      <w:pPr>
        <w:numPr>
          <w:ilvl w:val="0"/>
          <w:numId w:val="6"/>
        </w:numPr>
        <w:jc w:val="both"/>
        <w:rPr>
          <w:sz w:val="22"/>
          <w:szCs w:val="22"/>
        </w:rPr>
      </w:pPr>
      <w:r>
        <w:rPr>
          <w:sz w:val="22"/>
          <w:szCs w:val="22"/>
        </w:rPr>
        <w:t>Cambio de Modelo Estratégico: El traslado de recursos desde la protección inicial hacia la "Integración para la inclusión productiva" (+15%) indica un viraje estratégico. Es una apuesta por la sostenibilidad de los resultados, pero asume un alto riesgo al desinvertir en la base de la pirámide de atención. Sin embargo, es preciso mencionar que este proyecto de inversión hacen parte de los convenios que se celebran con otras entidades comó: Secretaría Distrital de Movilidad, la Secretaría Distrital de Planeación, TransMilenio S.A., el Fondo de Desarrollo Local de San Cristóbal y la Secretaría Distrital de Cultura, Recreación y Deporte</w:t>
      </w:r>
    </w:p>
    <w:p w:rsidR="00743DA6" w:rsidRDefault="00D95D19">
      <w:pPr>
        <w:numPr>
          <w:ilvl w:val="0"/>
          <w:numId w:val="6"/>
        </w:numPr>
        <w:jc w:val="both"/>
        <w:rPr>
          <w:sz w:val="22"/>
          <w:szCs w:val="22"/>
        </w:rPr>
      </w:pPr>
      <w:r>
        <w:rPr>
          <w:sz w:val="22"/>
          <w:szCs w:val="22"/>
        </w:rPr>
        <w:t>Tensión Operativa: Se recorta el mantenimiento de la infraestructura física (-30.5%) y tecnológica (-19.9%), mientras se aumenta el gasto en servicios administrativos. Esto sugiere una priorización del "funcionamiento" sobre el "mantenimiento del capital institucional", lo que puede generar costos mayores en el futuro.</w:t>
      </w:r>
    </w:p>
    <w:p w:rsidR="00743DA6" w:rsidRDefault="00743DA6">
      <w:pPr>
        <w:ind w:left="720"/>
        <w:jc w:val="both"/>
        <w:rPr>
          <w:sz w:val="22"/>
          <w:szCs w:val="22"/>
        </w:rPr>
      </w:pPr>
    </w:p>
    <w:p w:rsidR="00743DA6" w:rsidRDefault="00D95D19">
      <w:pPr>
        <w:jc w:val="both"/>
        <w:rPr>
          <w:sz w:val="22"/>
          <w:szCs w:val="22"/>
        </w:rPr>
      </w:pPr>
      <w:r>
        <w:rPr>
          <w:sz w:val="22"/>
          <w:szCs w:val="22"/>
        </w:rPr>
        <w:t>Conclusiones Generales y Recomendaciones</w:t>
      </w:r>
    </w:p>
    <w:p w:rsidR="00743DA6" w:rsidRDefault="00D95D19">
      <w:pPr>
        <w:numPr>
          <w:ilvl w:val="0"/>
          <w:numId w:val="33"/>
        </w:numPr>
        <w:jc w:val="both"/>
        <w:rPr>
          <w:sz w:val="22"/>
          <w:szCs w:val="22"/>
        </w:rPr>
      </w:pPr>
      <w:r>
        <w:rPr>
          <w:sz w:val="22"/>
          <w:szCs w:val="22"/>
        </w:rPr>
        <w:t>Escenario de Restricción Estratégica: El IDIPRON enfrenta un recorte que implica un cambio cualitativo en su modelo de asignación de recursos. Se está priorizando la etapa final de la intervención (inserción productiva)y que finalmente es presupuesto de otros sectores (convenios) y no del IDIPRON, a costa de las etapas iniciales y medias (protección, estabilización y mantenimiento).</w:t>
      </w:r>
    </w:p>
    <w:p w:rsidR="00743DA6" w:rsidRDefault="00D95D19">
      <w:pPr>
        <w:numPr>
          <w:ilvl w:val="0"/>
          <w:numId w:val="33"/>
        </w:numPr>
        <w:jc w:val="both"/>
        <w:rPr>
          <w:sz w:val="22"/>
          <w:szCs w:val="22"/>
        </w:rPr>
      </w:pPr>
      <w:r>
        <w:rPr>
          <w:sz w:val="22"/>
          <w:szCs w:val="22"/>
        </w:rPr>
        <w:t>Riesgo de Desnaturalización de la Misión: El recorte del 28% en los programas de atención a la habitabilidad en calle y la ESCNNA pone en entredicho la capacidad de la entidad para cumplir su mandato fundamental de protección integral.</w:t>
      </w:r>
    </w:p>
    <w:p w:rsidR="00743DA6" w:rsidRDefault="00D95D19">
      <w:pPr>
        <w:numPr>
          <w:ilvl w:val="0"/>
          <w:numId w:val="33"/>
        </w:numPr>
        <w:jc w:val="both"/>
        <w:rPr>
          <w:sz w:val="22"/>
          <w:szCs w:val="22"/>
        </w:rPr>
      </w:pPr>
      <w:r>
        <w:rPr>
          <w:sz w:val="22"/>
          <w:szCs w:val="22"/>
        </w:rPr>
        <w:t>Monitoreo de la Gestión 2025: La ejecución a octubre de 2025 (77.5%) requiere seguimiento. Se recomienda analizar el cierre anual para determinar si existieron problemas de gestión que requieran corrección, independientemente del recorte de 2026.</w:t>
      </w:r>
    </w:p>
    <w:p w:rsidR="00743DA6" w:rsidRDefault="00743DA6">
      <w:pPr>
        <w:rPr>
          <w:b/>
          <w:bCs/>
          <w:sz w:val="22"/>
          <w:szCs w:val="22"/>
        </w:rPr>
      </w:pPr>
    </w:p>
    <w:p w:rsidR="00743DA6" w:rsidRDefault="00D95D19">
      <w:pPr>
        <w:rPr>
          <w:b/>
          <w:bCs/>
          <w:sz w:val="22"/>
          <w:szCs w:val="22"/>
        </w:rPr>
      </w:pPr>
      <w:r>
        <w:rPr>
          <w:b/>
          <w:bCs/>
          <w:sz w:val="22"/>
          <w:szCs w:val="22"/>
        </w:rPr>
        <w:t>Petición de incremento de presupuesto</w:t>
      </w:r>
    </w:p>
    <w:p w:rsidR="00743DA6" w:rsidRDefault="00D95D19">
      <w:pPr>
        <w:spacing w:before="240" w:after="240"/>
        <w:jc w:val="both"/>
        <w:rPr>
          <w:sz w:val="22"/>
          <w:szCs w:val="22"/>
        </w:rPr>
      </w:pPr>
      <w:r>
        <w:rPr>
          <w:sz w:val="22"/>
          <w:szCs w:val="22"/>
        </w:rPr>
        <w:t>El perfil demográfico y social de las personas en situación de calle evidencia un crecimiento sostenido en la última década. En 2017 se identificaron 9.538 personas, mientras que para 2024 se registra un incremento del 9,8%, alcanzando un total de 10.478 habitantes de calle. De acuerdo con la Administración, el 18,2% de esta población corresponde a jóvenes entre 18 y 29 años, lo que refleja una mayor presencia de población joven en condiciones de exclusión extrema. Estos resultados del censo demuestran la necesidad de fortalecer los servicios sociales, las estrategias de protección y los procesos de integración social orientados a esta población.</w:t>
      </w:r>
    </w:p>
    <w:p w:rsidR="00743DA6" w:rsidRDefault="00D95D19">
      <w:pPr>
        <w:spacing w:before="240" w:after="240"/>
        <w:jc w:val="both"/>
        <w:rPr>
          <w:sz w:val="22"/>
          <w:szCs w:val="22"/>
        </w:rPr>
      </w:pPr>
      <w:r>
        <w:rPr>
          <w:sz w:val="22"/>
          <w:szCs w:val="22"/>
        </w:rPr>
        <w:t>Por otra parte, la proyección presupuestal para 2026, según la información suministrada por el Departamento Administrativo de Planeación, generaría afectaciones significativas a la capacidad institucional y a la misionalidad del IDIPRON. Las restricciones propuestas podrían comprometer cerca del 40% del talento humano, así como la programación de las metas del plan vigente, los proyectos de inversión y la capacidad operativa para responder de manera oportuna y efectiva a las dinámicas del fenómeno de habitabilidad en calle.</w:t>
      </w:r>
    </w:p>
    <w:p w:rsidR="00743DA6" w:rsidRDefault="00D95D19">
      <w:pPr>
        <w:spacing w:before="240" w:after="240"/>
        <w:jc w:val="both"/>
        <w:rPr>
          <w:sz w:val="22"/>
          <w:szCs w:val="22"/>
        </w:rPr>
      </w:pPr>
      <w:r>
        <w:rPr>
          <w:sz w:val="22"/>
          <w:szCs w:val="22"/>
        </w:rPr>
        <w:t>En este contexto, los proyectos estratégicos que requieren garantías presupuestales para asegurar su continuidad y efectividad son los siguientes:</w:t>
      </w:r>
    </w:p>
    <w:p w:rsidR="00743DA6" w:rsidRDefault="00D95D19">
      <w:pPr>
        <w:numPr>
          <w:ilvl w:val="0"/>
          <w:numId w:val="16"/>
        </w:numPr>
        <w:spacing w:before="240"/>
        <w:jc w:val="both"/>
        <w:rPr>
          <w:sz w:val="22"/>
          <w:szCs w:val="22"/>
        </w:rPr>
      </w:pPr>
      <w:r>
        <w:rPr>
          <w:sz w:val="22"/>
          <w:szCs w:val="22"/>
        </w:rPr>
        <w:t>Prevención, atención y protección integral a niñez, adolescencia y juventud en formas de exclusión extrema asociadas al fenómeno de habitabilidad en calle – Bogotá D.C.  $5.422.645.411</w:t>
      </w:r>
      <w:r>
        <w:rPr>
          <w:sz w:val="22"/>
          <w:szCs w:val="22"/>
        </w:rPr>
        <w:br/>
      </w:r>
    </w:p>
    <w:p w:rsidR="00743DA6" w:rsidRDefault="00D95D19">
      <w:pPr>
        <w:numPr>
          <w:ilvl w:val="0"/>
          <w:numId w:val="16"/>
        </w:numPr>
        <w:jc w:val="both"/>
        <w:rPr>
          <w:sz w:val="22"/>
          <w:szCs w:val="22"/>
        </w:rPr>
      </w:pPr>
      <w:r>
        <w:rPr>
          <w:sz w:val="22"/>
          <w:szCs w:val="22"/>
        </w:rPr>
        <w:t>Mejoramiento de capacidades y oportunidades para jóvenes inmersos en formas extremas de exclusión, para su integración productiva y social – Bogotá D.C.</w:t>
      </w:r>
      <w:r>
        <w:rPr>
          <w:sz w:val="22"/>
          <w:szCs w:val="22"/>
        </w:rPr>
        <w:br/>
        <w:t xml:space="preserve"> $1.242.321.659</w:t>
      </w:r>
      <w:r>
        <w:rPr>
          <w:sz w:val="22"/>
          <w:szCs w:val="22"/>
        </w:rPr>
        <w:br/>
      </w:r>
    </w:p>
    <w:p w:rsidR="00743DA6" w:rsidRDefault="00D95D19">
      <w:pPr>
        <w:numPr>
          <w:ilvl w:val="0"/>
          <w:numId w:val="16"/>
        </w:numPr>
        <w:jc w:val="both"/>
        <w:rPr>
          <w:sz w:val="22"/>
          <w:szCs w:val="22"/>
        </w:rPr>
      </w:pPr>
      <w:r>
        <w:rPr>
          <w:sz w:val="22"/>
          <w:szCs w:val="22"/>
        </w:rPr>
        <w:t>Optimización de la infraestructura física de las Unidades de Protección Integral y dependencias del IDIPRON – Bogotá D.C.</w:t>
      </w:r>
      <w:r>
        <w:rPr>
          <w:sz w:val="22"/>
          <w:szCs w:val="22"/>
        </w:rPr>
        <w:br/>
        <w:t xml:space="preserve"> $381.291.681</w:t>
      </w:r>
      <w:r>
        <w:rPr>
          <w:sz w:val="22"/>
          <w:szCs w:val="22"/>
        </w:rPr>
        <w:br/>
      </w:r>
    </w:p>
    <w:p w:rsidR="00743DA6" w:rsidRDefault="00D95D19">
      <w:pPr>
        <w:numPr>
          <w:ilvl w:val="0"/>
          <w:numId w:val="16"/>
        </w:numPr>
        <w:spacing w:after="240"/>
        <w:jc w:val="both"/>
        <w:rPr>
          <w:sz w:val="22"/>
          <w:szCs w:val="22"/>
        </w:rPr>
      </w:pPr>
      <w:r>
        <w:rPr>
          <w:sz w:val="22"/>
          <w:szCs w:val="22"/>
        </w:rPr>
        <w:t>Fortalecimiento de la infraestructura tecnológica y de comunicaciones del IDIPRON – Bogotá D.C.</w:t>
      </w:r>
      <w:r>
        <w:rPr>
          <w:sz w:val="22"/>
          <w:szCs w:val="22"/>
        </w:rPr>
        <w:br/>
        <w:t xml:space="preserve"> $322.612.064</w:t>
      </w:r>
      <w:r>
        <w:rPr>
          <w:sz w:val="22"/>
          <w:szCs w:val="22"/>
        </w:rPr>
        <w:br/>
      </w:r>
    </w:p>
    <w:p w:rsidR="00743DA6" w:rsidRDefault="00D95D19">
      <w:pPr>
        <w:spacing w:before="240" w:after="240"/>
        <w:jc w:val="both"/>
        <w:rPr>
          <w:sz w:val="22"/>
          <w:szCs w:val="22"/>
        </w:rPr>
      </w:pPr>
      <w:r>
        <w:rPr>
          <w:sz w:val="22"/>
          <w:szCs w:val="22"/>
        </w:rPr>
        <w:t>Estos recursos son esenciales para garantizar la prestación continua de servicios de atención integral, la modernización institucional y la protección efectiva de los derechos de niños, adolescentes y jóvenes en situación de calle. La reducción de estas partidas comprometería gravemente la misión institucional, limitaría la capacidad de respuesta y afectaría directamente a las poblaciones más vulnerables de la ciudad.</w:t>
      </w:r>
    </w:p>
    <w:p w:rsidR="00743DA6" w:rsidRDefault="00743DA6">
      <w:pPr>
        <w:spacing w:before="240" w:after="240"/>
        <w:jc w:val="both"/>
        <w:rPr>
          <w:sz w:val="22"/>
          <w:szCs w:val="22"/>
        </w:rPr>
      </w:pPr>
    </w:p>
    <w:p w:rsidR="00743DA6" w:rsidRDefault="00D95D19">
      <w:pPr>
        <w:spacing w:before="240" w:after="240"/>
        <w:jc w:val="both"/>
        <w:rPr>
          <w:b/>
          <w:bCs/>
          <w:sz w:val="22"/>
          <w:szCs w:val="22"/>
        </w:rPr>
      </w:pPr>
      <w:r>
        <w:rPr>
          <w:b/>
          <w:bCs/>
          <w:color w:val="000000"/>
          <w:sz w:val="22"/>
          <w:szCs w:val="22"/>
        </w:rPr>
        <w:t>Secretaría Distrital de la Mujer</w:t>
      </w:r>
    </w:p>
    <w:p w:rsidR="00743DA6" w:rsidRDefault="00D95D19">
      <w:pPr>
        <w:pBdr>
          <w:top w:val="nil"/>
          <w:left w:val="nil"/>
          <w:bottom w:val="nil"/>
          <w:right w:val="nil"/>
          <w:between w:val="nil"/>
        </w:pBdr>
        <w:spacing w:line="259" w:lineRule="auto"/>
        <w:rPr>
          <w:b/>
          <w:bCs/>
          <w:sz w:val="22"/>
          <w:szCs w:val="22"/>
        </w:rPr>
      </w:pPr>
      <w:r>
        <w:rPr>
          <w:b/>
          <w:bCs/>
          <w:sz w:val="22"/>
          <w:szCs w:val="22"/>
        </w:rPr>
        <w:t xml:space="preserve">Histórico de presupuesto </w:t>
      </w:r>
    </w:p>
    <w:p w:rsidR="00743DA6" w:rsidRDefault="00D95D19">
      <w:pPr>
        <w:pBdr>
          <w:top w:val="nil"/>
          <w:left w:val="nil"/>
          <w:bottom w:val="nil"/>
          <w:right w:val="nil"/>
          <w:between w:val="nil"/>
        </w:pBdr>
        <w:spacing w:line="259" w:lineRule="auto"/>
      </w:pPr>
      <w:r>
        <w:rPr>
          <w:noProof/>
          <w:lang w:val="es-CO"/>
        </w:rPr>
        <w:drawing>
          <wp:inline distT="114300" distB="114300" distL="114300" distR="114300">
            <wp:extent cx="5620703" cy="3252721"/>
            <wp:effectExtent l="0" t="0" r="0" b="0"/>
            <wp:docPr id="212739957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5"/>
                    <a:srcRect/>
                    <a:stretch>
                      <a:fillRect/>
                    </a:stretch>
                  </pic:blipFill>
                  <pic:spPr>
                    <a:xfrm>
                      <a:off x="0" y="0"/>
                      <a:ext cx="5620703" cy="3252721"/>
                    </a:xfrm>
                    <a:prstGeom prst="rect">
                      <a:avLst/>
                    </a:prstGeom>
                    <a:ln/>
                  </pic:spPr>
                </pic:pic>
              </a:graphicData>
            </a:graphic>
          </wp:inline>
        </w:drawing>
      </w:r>
    </w:p>
    <w:p w:rsidR="00743DA6" w:rsidRDefault="00D95D19">
      <w:pPr>
        <w:pBdr>
          <w:top w:val="nil"/>
          <w:left w:val="nil"/>
          <w:bottom w:val="nil"/>
          <w:right w:val="nil"/>
          <w:between w:val="nil"/>
        </w:pBdr>
        <w:spacing w:line="259" w:lineRule="auto"/>
        <w:jc w:val="center"/>
        <w:rPr>
          <w:sz w:val="22"/>
          <w:szCs w:val="22"/>
        </w:rPr>
      </w:pPr>
      <w:r>
        <w:rPr>
          <w:sz w:val="22"/>
          <w:szCs w:val="22"/>
        </w:rPr>
        <w:t>Fuente: Elaboración propia (2025) con base en la información suministrada de la SDH: Comparativo presupuesto anual por entidades 2022-2026</w:t>
      </w:r>
    </w:p>
    <w:p w:rsidR="00743DA6" w:rsidRDefault="00743DA6">
      <w:pPr>
        <w:pBdr>
          <w:top w:val="nil"/>
          <w:left w:val="nil"/>
          <w:bottom w:val="nil"/>
          <w:right w:val="nil"/>
          <w:between w:val="nil"/>
        </w:pBdr>
        <w:spacing w:line="259" w:lineRule="auto"/>
        <w:jc w:val="center"/>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La gráfica evidencia una tendencia clara en el comportamiento del presupuesto de la Secretaría de la Mujer entre 2022 y 2026. El gasto de funcionamiento muestra un crecimiento sostenido y continuo: pasa de $25.515 millones en 2022 a una proyección de $35.840 millones en 2026. Esta trayectoria ascendente se asocia con la consolidación del Sistema Distrital de Cuidado, cuyas responsabilidades administrativas y operativas han incrementado la demanda de recursos estables desde su creación en 2022.</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En contraste, los recursos destinados a inversión directa presentan un comportamiento más irregular. El presupuesto inicial de $101.548 millones en 2022 desciende a su punto mínimo en 2024 con $91.526 millones, y aunque registra una recuperación en 2025, la proyección para 2026 vuelve a ubicarse en $104.153 millones, lo que refleja una tendencia de estancamiento en términos reales. Esta volatilidad sugiere dificultades para consolidar un crecimiento sostenido en las líneas misionales de la entidad.</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En conjunto, el comportamiento presupuestal muestra que, mientras el gasto de funcionamiento crece de forma continua, la inversión directa no presenta una curva de expansión proporcional. Para una entidad cuya misión es garantizar derechos, prevenir violencias y fortalecer el Sistema Distrital de Cuidado, resulta clave mantener la cobertura administrativa sin descuidar la expansión de la inversión directa, que es la que permite ejecutar acciones, programas y servicios alineados con los objetivos del Plan de Desarrollo “Bogotá Camina Segura”. Esta relación entre funcionamiento e inversión constituye un elemento central para evaluar la capacidad de la Secretaría de responder integralmente a las demandas y responsabilidades asignadas en el marco de la política de mujeres en la ciudad.</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b/>
          <w:bCs/>
          <w:sz w:val="22"/>
          <w:szCs w:val="22"/>
        </w:rPr>
      </w:pPr>
      <w:r>
        <w:rPr>
          <w:b/>
          <w:bCs/>
          <w:sz w:val="22"/>
          <w:szCs w:val="22"/>
        </w:rPr>
        <w:t>Hallazgos y alertas</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 xml:space="preserve">El presupuesto proyectado para la Secretaría Distrital de la Mujer en 2026 es de $139,994 millones, lo que representa una reducción del 1% frente al presupuesto de 2025, que recorta presupuesto en proyectos y actividades claves para la garantía de una vida libre de violencia para las mujeres, en este sentido todos los proyectos tienen actividades programadas a las que se les reduce el presupuesto en menor o mayor medida. </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A continuación encontraremos el presupuesto por meta del PDD y el presupuesto por proyecto de inversión</w:t>
      </w:r>
    </w:p>
    <w:p w:rsidR="00743DA6" w:rsidRDefault="00743DA6">
      <w:pPr>
        <w:pBdr>
          <w:top w:val="nil"/>
          <w:left w:val="nil"/>
          <w:bottom w:val="nil"/>
          <w:right w:val="nil"/>
          <w:between w:val="nil"/>
        </w:pBdr>
        <w:spacing w:line="259" w:lineRule="auto"/>
        <w:jc w:val="both"/>
        <w:rPr>
          <w:sz w:val="22"/>
          <w:szCs w:val="22"/>
        </w:rPr>
      </w:pPr>
    </w:p>
    <w:p w:rsidR="00743DA6" w:rsidRDefault="00743DA6">
      <w:pPr>
        <w:pBdr>
          <w:top w:val="nil"/>
          <w:left w:val="nil"/>
          <w:bottom w:val="nil"/>
          <w:right w:val="nil"/>
          <w:between w:val="nil"/>
        </w:pBdr>
        <w:spacing w:line="259" w:lineRule="auto"/>
        <w:jc w:val="both"/>
        <w:rPr>
          <w:sz w:val="22"/>
          <w:szCs w:val="22"/>
        </w:rPr>
      </w:pPr>
    </w:p>
    <w:p w:rsidR="00743DA6" w:rsidRDefault="00743DA6">
      <w:pPr>
        <w:pBdr>
          <w:top w:val="nil"/>
          <w:left w:val="nil"/>
          <w:bottom w:val="nil"/>
          <w:right w:val="nil"/>
          <w:between w:val="nil"/>
        </w:pBdr>
        <w:spacing w:line="259" w:lineRule="auto"/>
        <w:jc w:val="both"/>
        <w:rPr>
          <w:sz w:val="22"/>
          <w:szCs w:val="22"/>
        </w:rPr>
      </w:pP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center"/>
        <w:rPr>
          <w:sz w:val="18"/>
          <w:szCs w:val="18"/>
        </w:rPr>
      </w:pPr>
      <w:r>
        <w:rPr>
          <w:sz w:val="22"/>
          <w:szCs w:val="22"/>
        </w:rPr>
        <w:t>Tabla. Presupuesto por Metas del Plan Distrital de Desarrollo 2025</w:t>
      </w:r>
    </w:p>
    <w:p w:rsidR="00743DA6" w:rsidRDefault="00D95D19">
      <w:pPr>
        <w:jc w:val="both"/>
        <w:rPr>
          <w:sz w:val="18"/>
          <w:szCs w:val="18"/>
        </w:rPr>
      </w:pPr>
      <w:r>
        <w:rPr>
          <w:noProof/>
          <w:lang w:val="es-CO"/>
        </w:rPr>
        <w:drawing>
          <wp:anchor distT="114300" distB="114300" distL="114300" distR="114300" simplePos="0" relativeHeight="251659264" behindDoc="0" locked="0" layoutInCell="1" hidden="0" allowOverlap="1">
            <wp:simplePos x="0" y="0"/>
            <wp:positionH relativeFrom="column">
              <wp:posOffset>19051</wp:posOffset>
            </wp:positionH>
            <wp:positionV relativeFrom="paragraph">
              <wp:posOffset>114300</wp:posOffset>
            </wp:positionV>
            <wp:extent cx="5612130" cy="2476500"/>
            <wp:effectExtent l="0" t="0" r="0" b="0"/>
            <wp:wrapSquare wrapText="bothSides" distT="114300" distB="114300" distL="114300" distR="114300"/>
            <wp:docPr id="212739958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6"/>
                    <a:srcRect/>
                    <a:stretch>
                      <a:fillRect/>
                    </a:stretch>
                  </pic:blipFill>
                  <pic:spPr>
                    <a:xfrm>
                      <a:off x="0" y="0"/>
                      <a:ext cx="5612130" cy="2476500"/>
                    </a:xfrm>
                    <a:prstGeom prst="rect">
                      <a:avLst/>
                    </a:prstGeom>
                    <a:ln/>
                  </pic:spPr>
                </pic:pic>
              </a:graphicData>
            </a:graphic>
          </wp:anchor>
        </w:drawing>
      </w:r>
    </w:p>
    <w:p w:rsidR="00743DA6" w:rsidRDefault="00D95D19">
      <w:pPr>
        <w:pBdr>
          <w:top w:val="nil"/>
          <w:left w:val="nil"/>
          <w:bottom w:val="nil"/>
          <w:right w:val="nil"/>
          <w:between w:val="nil"/>
        </w:pBdr>
        <w:jc w:val="center"/>
        <w:rPr>
          <w:sz w:val="18"/>
          <w:szCs w:val="18"/>
        </w:rPr>
      </w:pPr>
      <w:r>
        <w:rPr>
          <w:sz w:val="18"/>
          <w:szCs w:val="18"/>
        </w:rPr>
        <w:t>Fuente: Sistema de información Bogdata Corte a Compromisos a 10 de noviembre de 2025</w:t>
      </w:r>
    </w:p>
    <w:p w:rsidR="00743DA6" w:rsidRDefault="00743DA6">
      <w:pPr>
        <w:pBdr>
          <w:top w:val="nil"/>
          <w:left w:val="nil"/>
          <w:bottom w:val="nil"/>
          <w:right w:val="nil"/>
          <w:between w:val="nil"/>
        </w:pBdr>
        <w:spacing w:line="259" w:lineRule="auto"/>
        <w:jc w:val="center"/>
        <w:rPr>
          <w:sz w:val="22"/>
          <w:szCs w:val="22"/>
        </w:rPr>
      </w:pPr>
    </w:p>
    <w:p w:rsidR="00743DA6" w:rsidRDefault="00743DA6">
      <w:pPr>
        <w:pBdr>
          <w:top w:val="nil"/>
          <w:left w:val="nil"/>
          <w:bottom w:val="nil"/>
          <w:right w:val="nil"/>
          <w:between w:val="nil"/>
        </w:pBdr>
        <w:spacing w:line="259" w:lineRule="auto"/>
        <w:jc w:val="center"/>
        <w:rPr>
          <w:sz w:val="22"/>
          <w:szCs w:val="22"/>
        </w:rPr>
      </w:pPr>
    </w:p>
    <w:p w:rsidR="00743DA6" w:rsidRDefault="00D95D19">
      <w:pPr>
        <w:pBdr>
          <w:top w:val="nil"/>
          <w:left w:val="nil"/>
          <w:bottom w:val="nil"/>
          <w:right w:val="nil"/>
          <w:between w:val="nil"/>
        </w:pBdr>
        <w:spacing w:line="259" w:lineRule="auto"/>
        <w:jc w:val="center"/>
        <w:rPr>
          <w:sz w:val="22"/>
          <w:szCs w:val="22"/>
        </w:rPr>
      </w:pPr>
      <w:r>
        <w:rPr>
          <w:b/>
          <w:bCs/>
          <w:sz w:val="22"/>
          <w:szCs w:val="22"/>
        </w:rPr>
        <w:t xml:space="preserve">Tabla No. 54. </w:t>
      </w:r>
      <w:r>
        <w:rPr>
          <w:sz w:val="22"/>
          <w:szCs w:val="22"/>
        </w:rPr>
        <w:t>Comparación presupuesto por proyectos de inversión Secretaría de la Mujer 2025- 2026</w:t>
      </w:r>
    </w:p>
    <w:p w:rsidR="00743DA6" w:rsidRDefault="00743DA6">
      <w:pPr>
        <w:pBdr>
          <w:top w:val="nil"/>
          <w:left w:val="nil"/>
          <w:bottom w:val="nil"/>
          <w:right w:val="nil"/>
          <w:between w:val="nil"/>
        </w:pBdr>
        <w:spacing w:line="259" w:lineRule="auto"/>
        <w:jc w:val="center"/>
        <w:rPr>
          <w:sz w:val="22"/>
          <w:szCs w:val="22"/>
        </w:rPr>
      </w:pPr>
    </w:p>
    <w:sdt>
      <w:sdtPr>
        <w:rPr>
          <w:rFonts w:ascii="Arial" w:eastAsia="Arial" w:hAnsi="Arial" w:cs="Arial"/>
          <w:sz w:val="24"/>
          <w:szCs w:val="24"/>
          <w:lang w:val="es" w:eastAsia="es-CO"/>
        </w:rPr>
        <w:tag w:val="goog_rdk_899"/>
        <w:id w:val="434055015"/>
        <w:lock w:val="contentLocked"/>
      </w:sdtPr>
      <w:sdtEndPr/>
      <w:sdtContent>
        <w:tbl>
          <w:tblPr>
            <w:tblStyle w:val="affffffff0"/>
            <w:tblW w:w="10125" w:type="dxa"/>
            <w:tblInd w:w="-420" w:type="dxa"/>
            <w:tblBorders>
              <w:top w:val="nil"/>
              <w:left w:val="nil"/>
              <w:bottom w:val="nil"/>
              <w:right w:val="nil"/>
              <w:insideH w:val="nil"/>
              <w:insideV w:val="nil"/>
            </w:tblBorders>
            <w:tblLayout w:type="fixed"/>
            <w:tblLook w:val="0600" w:firstRow="0" w:lastRow="0" w:firstColumn="0" w:lastColumn="0" w:noHBand="1" w:noVBand="1"/>
          </w:tblPr>
          <w:tblGrid>
            <w:gridCol w:w="660"/>
            <w:gridCol w:w="5550"/>
            <w:gridCol w:w="1815"/>
            <w:gridCol w:w="1515"/>
            <w:gridCol w:w="585"/>
          </w:tblGrid>
          <w:tr w:rsidR="00743DA6">
            <w:trPr>
              <w:trHeight w:val="485"/>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Proyecto de Inversión </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2025</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2026</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743DA6">
                <w:pPr>
                  <w:shd w:val="clear" w:color="auto" w:fill="FFFFFF"/>
                  <w:jc w:val="both"/>
                  <w:rPr>
                    <w:color w:val="0F1115"/>
                    <w:sz w:val="18"/>
                    <w:szCs w:val="18"/>
                  </w:rPr>
                </w:pPr>
              </w:p>
            </w:tc>
          </w:tr>
          <w:tr w:rsidR="00743DA6">
            <w:trPr>
              <w:trHeight w:val="770"/>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8205</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Fortalecimiento de la estrategia de acogida, atención y prevención de violencias contra las mujeres en el espacio público y privado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$ 36.312.000.000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$ 35.469.625.000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-2%</w:t>
                </w:r>
              </w:p>
            </w:tc>
          </w:tr>
          <w:tr w:rsidR="00743DA6">
            <w:trPr>
              <w:trHeight w:val="1025"/>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8210</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Consolidación de la Estrategia de Justicia de Género como mecanismo para promover los derechos de las mujeres a una vida libre de violencias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 $ 11.097.379.000,00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$ 10.839.939.000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-2%</w:t>
                </w:r>
              </w:p>
            </w:tc>
          </w:tr>
          <w:tr w:rsidR="00743DA6">
            <w:trPr>
              <w:trHeight w:val="770"/>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8221</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Ampliación de los servicios con enfoque diferencial para la atención a mujeres que ejercen actividades sexuales pagadas (ASP)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 $ 2.521.000.000,00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$ 2.382.866.000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-5%</w:t>
                </w:r>
              </w:p>
            </w:tc>
          </w:tr>
          <w:tr w:rsidR="00743DA6">
            <w:trPr>
              <w:trHeight w:val="770"/>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8198</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Implementación de la estrategia de transformación cultural de la Secretaría Distrital de la Mujer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 $ 2.258.000.000,00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$ 2.088.683.000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-7%</w:t>
                </w:r>
              </w:p>
            </w:tc>
          </w:tr>
          <w:tr w:rsidR="00743DA6">
            <w:trPr>
              <w:trHeight w:val="1025"/>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8207</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Implementación de una estrategia de comunicación para la promoción de los derechos de las mujeres, la prevención y atención de las violencias de género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 $ 2.344.000.000,00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$ 2.316.708.000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-1%</w:t>
                </w:r>
              </w:p>
            </w:tc>
          </w:tr>
          <w:tr w:rsidR="00743DA6">
            <w:trPr>
              <w:trHeight w:val="770"/>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8219</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Fortalecimiento a la implementación, seguimiento y coordinación del Sistema Distrital de Cuidado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 $ 12.425.161.000,00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$ 12.559.685.000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1%</w:t>
                </w:r>
              </w:p>
            </w:tc>
          </w:tr>
          <w:tr w:rsidR="00743DA6">
            <w:trPr>
              <w:trHeight w:val="1070"/>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8222</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Fortalecimiento de los servicios y estrategias con enfoque diferencial en el sector público y privado que vinculen a la ciudadanía y a las mujeres en sus diferencias y diversidad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 $ 1.635.000.000,00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$ 1.677.071.000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3%</w:t>
                </w:r>
              </w:p>
            </w:tc>
          </w:tr>
          <w:tr w:rsidR="00743DA6">
            <w:trPr>
              <w:trHeight w:val="1025"/>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8223</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Implementación de estrategias de participación, territorialización y transversalización de la Política Pública de Mujeres y Equidad de Género a nivel local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$14.981.798.000,00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$14.215.467.000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-5%</w:t>
                </w:r>
              </w:p>
            </w:tc>
          </w:tr>
          <w:tr w:rsidR="00743DA6">
            <w:trPr>
              <w:trHeight w:val="770"/>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8190</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Desarrollo de capacidades digitales para potenciar la inclusión social de las mujeres en zonas urbanas y rurales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 $ 2.244.000.000,00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$ 2.104.579.000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-6%</w:t>
                </w:r>
              </w:p>
            </w:tc>
          </w:tr>
          <w:tr w:rsidR="00743DA6">
            <w:trPr>
              <w:trHeight w:val="859"/>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8181</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Producción de información sobre los derechos de las mujeres para potenciar la toma de decisiones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 $ 4.014.000.000,00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$ 3.775.829.000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-6%</w:t>
                </w:r>
              </w:p>
            </w:tc>
          </w:tr>
          <w:tr w:rsidR="00743DA6">
            <w:trPr>
              <w:trHeight w:val="770"/>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8232</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Implementación de estrategias para el empoderamiento económico de las mujeres en toda su diversidad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 $ 1.863.000.000,00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$ 1.742.658.000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-6%</w:t>
                </w:r>
              </w:p>
            </w:tc>
          </w:tr>
          <w:tr w:rsidR="00743DA6">
            <w:trPr>
              <w:trHeight w:val="944"/>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8200</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Implementación de las políticas públicas PPMYEG y PPASP para la garantía de los derechos de las mujeres, la transversalización del enfoque de género y la igualdad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 $ 2.646.000.000,00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$ 2.461.102.000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-7%</w:t>
                </w:r>
              </w:p>
            </w:tc>
          </w:tr>
          <w:tr w:rsidR="00743DA6">
            <w:trPr>
              <w:trHeight w:val="770"/>
            </w:trPr>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8225</w:t>
                </w:r>
              </w:p>
            </w:tc>
            <w:tc>
              <w:tcPr>
                <w:tcW w:w="5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Mejoramiento del modelo de operación por procesos de la Secretaría Distrital de la Mujer en Bogotá D.C.</w:t>
                </w:r>
              </w:p>
            </w:tc>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xml:space="preserve"> $ 12.817.123.000,00</w:t>
                </w:r>
              </w:p>
            </w:tc>
            <w:tc>
              <w:tcPr>
                <w:tcW w:w="15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$ 12.519.395.000</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743DA6" w:rsidRDefault="00D95D19">
                <w:pPr>
                  <w:shd w:val="clear" w:color="auto" w:fill="FFFFFF"/>
                  <w:jc w:val="both"/>
                  <w:rPr>
                    <w:color w:val="0F1115"/>
                    <w:sz w:val="18"/>
                    <w:szCs w:val="18"/>
                  </w:rPr>
                </w:pPr>
                <w:r>
                  <w:rPr>
                    <w:color w:val="0F1115"/>
                    <w:sz w:val="18"/>
                    <w:szCs w:val="18"/>
                  </w:rPr>
                  <w:t>-2%</w:t>
                </w:r>
              </w:p>
            </w:tc>
          </w:tr>
        </w:tbl>
      </w:sdtContent>
    </w:sdt>
    <w:p w:rsidR="00743DA6" w:rsidRDefault="00743DA6">
      <w:pPr>
        <w:shd w:val="clear" w:color="auto" w:fill="FFFFFF"/>
        <w:spacing w:after="240"/>
        <w:rPr>
          <w:sz w:val="18"/>
          <w:szCs w:val="18"/>
        </w:rPr>
      </w:pPr>
    </w:p>
    <w:p w:rsidR="00743DA6" w:rsidRDefault="00D95D19">
      <w:pPr>
        <w:shd w:val="clear" w:color="auto" w:fill="FFFFFF"/>
        <w:spacing w:after="240"/>
        <w:jc w:val="center"/>
        <w:rPr>
          <w:sz w:val="18"/>
          <w:szCs w:val="18"/>
        </w:rPr>
      </w:pPr>
      <w:r>
        <w:rPr>
          <w:sz w:val="18"/>
          <w:szCs w:val="18"/>
        </w:rPr>
        <w:t>Fuente: Elaboración propia con base en la información suministrada por SDH (2025)</w:t>
      </w:r>
    </w:p>
    <w:p w:rsidR="00743DA6" w:rsidRDefault="00D95D19">
      <w:pPr>
        <w:shd w:val="clear" w:color="auto" w:fill="FFFFFF"/>
        <w:spacing w:before="240" w:after="240"/>
        <w:jc w:val="both"/>
        <w:rPr>
          <w:color w:val="0F1115"/>
          <w:sz w:val="22"/>
          <w:szCs w:val="22"/>
        </w:rPr>
      </w:pPr>
      <w:r>
        <w:rPr>
          <w:sz w:val="22"/>
          <w:szCs w:val="22"/>
        </w:rPr>
        <w:t xml:space="preserve">Estas decisiones presupuestales del distrito para el 2026 traen consigo riesgos inmediatos como la desarticulación territorial, reducción en el acceso a los servicios brindados por la Secretaría y menor participación comunitaria de las mujeres. Dentro de los objetivos del PDD la Secretaría de la Mujer aporta el 46,7 % de su presupuesto a el objetivo Bogota avanza en su seguridad, sin embargo el proyecto 8205 </w:t>
      </w:r>
      <w:r>
        <w:rPr>
          <w:color w:val="0F1115"/>
          <w:sz w:val="22"/>
          <w:szCs w:val="22"/>
        </w:rPr>
        <w:t>Fortalecimiento de la estrategia de acogida, atención y prevención de violencias contra las mujeres en el espacio público y privado en Bogotá D.C que hace parte de este objetivo cuenta con una reducción importante en casi todas sus actividades exceptuando la atención de la Línea Púrpura.</w:t>
      </w:r>
    </w:p>
    <w:p w:rsidR="00743DA6" w:rsidRDefault="00D95D19">
      <w:pPr>
        <w:shd w:val="clear" w:color="auto" w:fill="FFFFFF"/>
        <w:spacing w:before="240" w:after="240"/>
        <w:jc w:val="both"/>
        <w:rPr>
          <w:color w:val="0F1115"/>
          <w:sz w:val="22"/>
          <w:szCs w:val="22"/>
        </w:rPr>
      </w:pPr>
      <w:r>
        <w:rPr>
          <w:color w:val="0F1115"/>
          <w:sz w:val="22"/>
          <w:szCs w:val="22"/>
        </w:rPr>
        <w:t>Así es que por ejemplo la actividad correspondiente a  operar 6 Casa(s) refugio que incorporen el enfoque diferencial para la atención de mujeres víctimas de violencia de género y sus personas a cargo, incluyendo una casa para mujeres de la ruralidad y campesinas y un modelo intermedio cuenta con una reducción de presupuesto  de $2.292 millones de pesos para 2026 cuando al tratarse de la vigencia actual uno de los retos era su fortalecimiento y que en el año 2024 impactó la vida de 572 mujeres víctimas de violencias de género y sus personas a cargo, brindándoles acogida.</w:t>
      </w:r>
    </w:p>
    <w:p w:rsidR="00743DA6" w:rsidRDefault="00D95D19">
      <w:pPr>
        <w:shd w:val="clear" w:color="auto" w:fill="FFFFFF"/>
        <w:spacing w:before="240" w:after="240"/>
        <w:jc w:val="both"/>
        <w:rPr>
          <w:color w:val="0F1115"/>
          <w:sz w:val="22"/>
          <w:szCs w:val="22"/>
        </w:rPr>
      </w:pPr>
      <w:r>
        <w:rPr>
          <w:color w:val="0F1115"/>
          <w:sz w:val="22"/>
          <w:szCs w:val="22"/>
        </w:rPr>
        <w:t>En el marco del objetivo 2 del PDD Bogotá confía en su Bien-estar la Secretaria de la Mujer destina el 31,5% de su presupuesto a este, donde se encuentra el proyecto 8219 Fortalecimiento a la implementación, seguimiento y coordinación del Sistema Distrital de Cuidado en Bogotá D.C y que dentro de sus actividades presenta una reducción presupuestal, entre ellas la de coordinar 1 Mecanismo(s) de Gobernanza para la articulación y gestión intersectorial con las entidades e instancias que permita la implementación, seguimiento y evaluación del Sistema Distrital de Cuidado con una reducción presupuestal de $390 millones de pesos para 2026, esto incide negativamente en uno de los objetivos específicos  del proyecto que es justamente Integrar la oferta institucional del distrito en zonas rurales y urbanas que faciliten el funcionamiento del Sistema Distrital de Cuidado.</w:t>
      </w:r>
    </w:p>
    <w:p w:rsidR="00743DA6" w:rsidRDefault="00D95D19">
      <w:pPr>
        <w:shd w:val="clear" w:color="auto" w:fill="FFFFFF"/>
        <w:spacing w:before="240" w:after="240"/>
        <w:jc w:val="both"/>
        <w:rPr>
          <w:color w:val="0F1115"/>
          <w:sz w:val="22"/>
          <w:szCs w:val="22"/>
        </w:rPr>
      </w:pPr>
      <w:r>
        <w:rPr>
          <w:color w:val="0F1115"/>
          <w:sz w:val="22"/>
          <w:szCs w:val="22"/>
        </w:rPr>
        <w:t>Dentro del proyecto también se reduce el presupuesto de la actividad correspondiente a  implementar 1 Estrategia(s) de formación para mujeres, en el reconocimiento, empoderamiento y garantía de sus derechos que fomenten la autonomía en condiciones de equidad. teniendo así  una diferencia negativa de $56 millones de pesos para 2026 y poniendo en vilo el objetivo específico del proyecto de aumentar el acceso de las mujeres en sus diferencias y diversidades a programas educativos y de formación, que aporten a la promoción y garantía de sus derechos, sabiendo que uno de los retos a futuro para la Secretaria sería la formación a 3.450 mujeres en el reconocimiento, empoderamiento y garantía de sus derechos que fomenten la autonomía en condiciones de equidad y que en 2025 ha alcanzado el acceso  a herramientas para su autonomía económica y empoderamiento social y político de  2.500 mujeres que realizan trabajo de cuidado no remunerado.</w:t>
      </w:r>
    </w:p>
    <w:p w:rsidR="00743DA6" w:rsidRDefault="00D95D19">
      <w:pPr>
        <w:shd w:val="clear" w:color="auto" w:fill="FFFFFF"/>
        <w:spacing w:before="240" w:after="240"/>
        <w:jc w:val="both"/>
        <w:rPr>
          <w:color w:val="0F1115"/>
          <w:sz w:val="22"/>
          <w:szCs w:val="22"/>
        </w:rPr>
      </w:pPr>
      <w:r>
        <w:rPr>
          <w:color w:val="0F1115"/>
          <w:sz w:val="22"/>
          <w:szCs w:val="22"/>
        </w:rPr>
        <w:t>En el proyecto 8219 es necesario aclarar elementos para el desarrollo del mismo que reafirman la importancia de no hacer recortes presupuestales. La Secretaria de la Mujer para el año 2026 plantea la inauguración de 1 nueva Manzana del Cuidado, teniendo 30 en total, lo que genera un nuevo punto de atención para las mujeres del distrito y en ese sentido la designación de presupuesto, además con la disminución se deberá recortar las duplas de atención a los servicios de 34 a 24 (menos 10 duplas), dejando así en vilo la garantía de acceso y seguimiento a una vida libre de violencias para las mujeres en Bogotá. Además la Secretaria se encargará de continuar con la operación de 2 buses de cuidado que en términos de presupuesto se tienen comprometidos en vigencias futuras para la garantía del servicio.</w:t>
      </w:r>
    </w:p>
    <w:p w:rsidR="00743DA6" w:rsidRDefault="00D95D19">
      <w:pPr>
        <w:shd w:val="clear" w:color="auto" w:fill="FFFFFF"/>
        <w:spacing w:before="240" w:after="240"/>
        <w:jc w:val="both"/>
        <w:rPr>
          <w:color w:val="0F1115"/>
          <w:sz w:val="22"/>
          <w:szCs w:val="22"/>
        </w:rPr>
      </w:pPr>
      <w:r>
        <w:rPr>
          <w:color w:val="0F1115"/>
          <w:sz w:val="22"/>
          <w:szCs w:val="22"/>
        </w:rPr>
        <w:t>El proyecto 8223 Implementación de estrategias de participación, territorialización y transversalización de la Política Pública de Mujeres y Equidad de Género a nivel local en Bogotá D.C también hace parte del Objetivo 2 del PDD Bogotá confía en su Bien-estar y para el 2026 tiene una reducción considerable de todas sus actividades exceptuando una, que al ser revisado de manera general tiene una diferencia negativa de $1,238 millones de pesos, a continuación se presentara una tabla a detalle</w:t>
      </w:r>
    </w:p>
    <w:p w:rsidR="00743DA6" w:rsidRDefault="00D95D19">
      <w:pPr>
        <w:shd w:val="clear" w:color="auto" w:fill="FFFFFF"/>
        <w:spacing w:before="240" w:after="240"/>
        <w:jc w:val="center"/>
        <w:rPr>
          <w:color w:val="0F1115"/>
          <w:sz w:val="22"/>
          <w:szCs w:val="22"/>
        </w:rPr>
      </w:pPr>
      <w:r>
        <w:rPr>
          <w:b/>
          <w:bCs/>
          <w:color w:val="0F1115"/>
          <w:sz w:val="22"/>
          <w:szCs w:val="22"/>
        </w:rPr>
        <w:t>Tabla No. 55.</w:t>
      </w:r>
      <w:r>
        <w:rPr>
          <w:color w:val="0F1115"/>
          <w:sz w:val="22"/>
          <w:szCs w:val="22"/>
        </w:rPr>
        <w:t xml:space="preserve"> Comparativo proyecto 8223 Implementación de estrategias de participación, territorialización y transversalización de la Política Pública de Mujeres y Equidad de Género</w:t>
      </w:r>
    </w:p>
    <w:sdt>
      <w:sdtPr>
        <w:rPr>
          <w:rFonts w:ascii="Arial" w:eastAsia="Arial" w:hAnsi="Arial" w:cs="Arial"/>
          <w:sz w:val="24"/>
          <w:szCs w:val="24"/>
          <w:lang w:val="es" w:eastAsia="es-CO"/>
        </w:rPr>
        <w:tag w:val="goog_rdk_900"/>
        <w:id w:val="240782893"/>
        <w:lock w:val="contentLocked"/>
      </w:sdtPr>
      <w:sdtEndPr/>
      <w:sdtContent>
        <w:tbl>
          <w:tblPr>
            <w:tblStyle w:val="affffffff1"/>
            <w:tblW w:w="8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80"/>
            <w:gridCol w:w="1500"/>
            <w:gridCol w:w="1530"/>
            <w:gridCol w:w="1410"/>
          </w:tblGrid>
          <w:tr w:rsidR="00743DA6">
            <w:trPr>
              <w:trHeight w:val="445"/>
            </w:trPr>
            <w:tc>
              <w:tcPr>
                <w:tcW w:w="438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center"/>
                  <w:rPr>
                    <w:color w:val="0F1115"/>
                    <w:sz w:val="18"/>
                    <w:szCs w:val="18"/>
                  </w:rPr>
                </w:pPr>
                <w:r>
                  <w:rPr>
                    <w:color w:val="0F1115"/>
                    <w:sz w:val="18"/>
                    <w:szCs w:val="18"/>
                  </w:rPr>
                  <w:t>Actividad</w:t>
                </w:r>
              </w:p>
            </w:tc>
            <w:tc>
              <w:tcPr>
                <w:tcW w:w="150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center"/>
                  <w:rPr>
                    <w:color w:val="0F1115"/>
                    <w:sz w:val="18"/>
                    <w:szCs w:val="18"/>
                  </w:rPr>
                </w:pPr>
                <w:r>
                  <w:rPr>
                    <w:color w:val="0F1115"/>
                    <w:sz w:val="18"/>
                    <w:szCs w:val="18"/>
                  </w:rPr>
                  <w:t>2025_PROG</w:t>
                </w:r>
              </w:p>
              <w:p w:rsidR="00743DA6" w:rsidRDefault="00743DA6">
                <w:pPr>
                  <w:pBdr>
                    <w:top w:val="nil"/>
                    <w:left w:val="nil"/>
                    <w:bottom w:val="nil"/>
                    <w:right w:val="nil"/>
                    <w:between w:val="nil"/>
                  </w:pBdr>
                  <w:jc w:val="center"/>
                  <w:rPr>
                    <w:color w:val="0F1115"/>
                    <w:sz w:val="18"/>
                    <w:szCs w:val="18"/>
                  </w:rPr>
                </w:pPr>
              </w:p>
            </w:tc>
            <w:tc>
              <w:tcPr>
                <w:tcW w:w="153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center"/>
                  <w:rPr>
                    <w:color w:val="0F1115"/>
                    <w:sz w:val="18"/>
                    <w:szCs w:val="18"/>
                  </w:rPr>
                </w:pPr>
                <w:r>
                  <w:rPr>
                    <w:color w:val="0F1115"/>
                    <w:sz w:val="18"/>
                    <w:szCs w:val="18"/>
                  </w:rPr>
                  <w:t>2026_PROG</w:t>
                </w:r>
              </w:p>
              <w:p w:rsidR="00743DA6" w:rsidRDefault="00743DA6">
                <w:pPr>
                  <w:pBdr>
                    <w:top w:val="nil"/>
                    <w:left w:val="nil"/>
                    <w:bottom w:val="nil"/>
                    <w:right w:val="nil"/>
                    <w:between w:val="nil"/>
                  </w:pBdr>
                  <w:jc w:val="center"/>
                  <w:rPr>
                    <w:color w:val="0F1115"/>
                    <w:sz w:val="18"/>
                    <w:szCs w:val="18"/>
                  </w:rPr>
                </w:pPr>
              </w:p>
            </w:tc>
            <w:tc>
              <w:tcPr>
                <w:tcW w:w="141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center"/>
                  <w:rPr>
                    <w:color w:val="0F1115"/>
                    <w:sz w:val="18"/>
                    <w:szCs w:val="18"/>
                  </w:rPr>
                </w:pPr>
                <w:r>
                  <w:rPr>
                    <w:color w:val="0F1115"/>
                    <w:sz w:val="18"/>
                    <w:szCs w:val="18"/>
                  </w:rPr>
                  <w:t>Diferencia PROG</w:t>
                </w:r>
              </w:p>
              <w:p w:rsidR="00743DA6" w:rsidRDefault="00743DA6">
                <w:pPr>
                  <w:pBdr>
                    <w:top w:val="nil"/>
                    <w:left w:val="nil"/>
                    <w:bottom w:val="nil"/>
                    <w:right w:val="nil"/>
                    <w:between w:val="nil"/>
                  </w:pBdr>
                  <w:jc w:val="center"/>
                  <w:rPr>
                    <w:color w:val="0F1115"/>
                    <w:sz w:val="18"/>
                    <w:szCs w:val="18"/>
                  </w:rPr>
                </w:pPr>
              </w:p>
            </w:tc>
          </w:tr>
          <w:tr w:rsidR="00743DA6">
            <w:tc>
              <w:tcPr>
                <w:tcW w:w="438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Brindar el 100 Porciento de los tres servicios priorizados para la atención a través del modelo CIOM: primera atención profesional (trabajo social), orientación y seguimiento psicosocial y orientación, asesoría y seguimiento sociojurídico</w:t>
                </w:r>
              </w:p>
            </w:tc>
            <w:tc>
              <w:tcPr>
                <w:tcW w:w="150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$2.351.000.000</w:t>
                </w:r>
              </w:p>
            </w:tc>
            <w:tc>
              <w:tcPr>
                <w:tcW w:w="153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$1.605,000,000</w:t>
                </w:r>
              </w:p>
              <w:p w:rsidR="00743DA6" w:rsidRDefault="00743DA6">
                <w:pPr>
                  <w:pBdr>
                    <w:top w:val="nil"/>
                    <w:left w:val="nil"/>
                    <w:bottom w:val="nil"/>
                    <w:right w:val="nil"/>
                    <w:between w:val="nil"/>
                  </w:pBdr>
                  <w:jc w:val="both"/>
                  <w:rPr>
                    <w:color w:val="0F1115"/>
                    <w:sz w:val="18"/>
                    <w:szCs w:val="18"/>
                  </w:rPr>
                </w:pPr>
              </w:p>
            </w:tc>
            <w:tc>
              <w:tcPr>
                <w:tcW w:w="141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-$747,000,000</w:t>
                </w:r>
              </w:p>
              <w:p w:rsidR="00743DA6" w:rsidRDefault="00743DA6">
                <w:pPr>
                  <w:pBdr>
                    <w:top w:val="nil"/>
                    <w:left w:val="nil"/>
                    <w:bottom w:val="nil"/>
                    <w:right w:val="nil"/>
                    <w:between w:val="nil"/>
                  </w:pBdr>
                  <w:jc w:val="both"/>
                  <w:rPr>
                    <w:color w:val="0F1115"/>
                    <w:sz w:val="18"/>
                    <w:szCs w:val="18"/>
                  </w:rPr>
                </w:pPr>
              </w:p>
            </w:tc>
          </w:tr>
          <w:tr w:rsidR="00743DA6">
            <w:tc>
              <w:tcPr>
                <w:tcW w:w="438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Brindar en las 20 Localidad(es) el servicio de asistencia técnica a las instancias de participación territorial y Fondos de Desarrollo Local en clave de transversalización de los enfoques.</w:t>
                </w:r>
              </w:p>
            </w:tc>
            <w:tc>
              <w:tcPr>
                <w:tcW w:w="150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$1.163.000.000</w:t>
                </w:r>
              </w:p>
            </w:tc>
            <w:tc>
              <w:tcPr>
                <w:tcW w:w="153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$ 814,000,000</w:t>
                </w:r>
              </w:p>
              <w:p w:rsidR="00743DA6" w:rsidRDefault="00743DA6">
                <w:pPr>
                  <w:pBdr>
                    <w:top w:val="nil"/>
                    <w:left w:val="nil"/>
                    <w:bottom w:val="nil"/>
                    <w:right w:val="nil"/>
                    <w:between w:val="nil"/>
                  </w:pBdr>
                  <w:jc w:val="both"/>
                  <w:rPr>
                    <w:color w:val="0F1115"/>
                    <w:sz w:val="18"/>
                    <w:szCs w:val="18"/>
                  </w:rPr>
                </w:pPr>
              </w:p>
            </w:tc>
            <w:tc>
              <w:tcPr>
                <w:tcW w:w="141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-$349,000,000</w:t>
                </w:r>
              </w:p>
              <w:p w:rsidR="00743DA6" w:rsidRDefault="00743DA6">
                <w:pPr>
                  <w:pBdr>
                    <w:top w:val="nil"/>
                    <w:left w:val="nil"/>
                    <w:bottom w:val="nil"/>
                    <w:right w:val="nil"/>
                    <w:between w:val="nil"/>
                  </w:pBdr>
                  <w:jc w:val="both"/>
                  <w:rPr>
                    <w:color w:val="0F1115"/>
                    <w:sz w:val="18"/>
                    <w:szCs w:val="18"/>
                  </w:rPr>
                </w:pPr>
              </w:p>
            </w:tc>
          </w:tr>
          <w:tr w:rsidR="00743DA6">
            <w:tc>
              <w:tcPr>
                <w:tcW w:w="438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Consolidar 1 Estrategia(s) para realizar jornadas de difusión, información y sensibilización a mujeres en los territorios rurales y urbanos de Bogotá.</w:t>
                </w:r>
              </w:p>
            </w:tc>
            <w:tc>
              <w:tcPr>
                <w:tcW w:w="150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$ 622,000,000</w:t>
                </w:r>
              </w:p>
              <w:p w:rsidR="00743DA6" w:rsidRDefault="00743DA6">
                <w:pPr>
                  <w:pBdr>
                    <w:top w:val="nil"/>
                    <w:left w:val="nil"/>
                    <w:bottom w:val="nil"/>
                    <w:right w:val="nil"/>
                    <w:between w:val="nil"/>
                  </w:pBdr>
                  <w:jc w:val="both"/>
                  <w:rPr>
                    <w:color w:val="0F1115"/>
                    <w:sz w:val="18"/>
                    <w:szCs w:val="18"/>
                  </w:rPr>
                </w:pPr>
              </w:p>
            </w:tc>
            <w:tc>
              <w:tcPr>
                <w:tcW w:w="153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$ 464,000,000</w:t>
                </w:r>
              </w:p>
              <w:p w:rsidR="00743DA6" w:rsidRDefault="00743DA6">
                <w:pPr>
                  <w:pBdr>
                    <w:top w:val="nil"/>
                    <w:left w:val="nil"/>
                    <w:bottom w:val="nil"/>
                    <w:right w:val="nil"/>
                    <w:between w:val="nil"/>
                  </w:pBdr>
                  <w:jc w:val="both"/>
                  <w:rPr>
                    <w:color w:val="0F1115"/>
                    <w:sz w:val="18"/>
                    <w:szCs w:val="18"/>
                  </w:rPr>
                </w:pPr>
              </w:p>
            </w:tc>
            <w:tc>
              <w:tcPr>
                <w:tcW w:w="141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-$158,000,000</w:t>
                </w:r>
              </w:p>
              <w:p w:rsidR="00743DA6" w:rsidRDefault="00743DA6">
                <w:pPr>
                  <w:pBdr>
                    <w:top w:val="nil"/>
                    <w:left w:val="nil"/>
                    <w:bottom w:val="nil"/>
                    <w:right w:val="nil"/>
                    <w:between w:val="nil"/>
                  </w:pBdr>
                  <w:jc w:val="both"/>
                  <w:rPr>
                    <w:color w:val="0F1115"/>
                    <w:sz w:val="18"/>
                    <w:szCs w:val="18"/>
                  </w:rPr>
                </w:pPr>
              </w:p>
            </w:tc>
          </w:tr>
          <w:tr w:rsidR="00743DA6">
            <w:tc>
              <w:tcPr>
                <w:tcW w:w="438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Implementar 1 Estrategia(s) denominada: Tejiendo Mundos de Igualdad para NNA en los territorios rurales y urbanos de Bogotá.</w:t>
                </w:r>
              </w:p>
            </w:tc>
            <w:tc>
              <w:tcPr>
                <w:tcW w:w="150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$ 510,000,000</w:t>
                </w:r>
              </w:p>
              <w:p w:rsidR="00743DA6" w:rsidRDefault="00743DA6">
                <w:pPr>
                  <w:pBdr>
                    <w:top w:val="nil"/>
                    <w:left w:val="nil"/>
                    <w:bottom w:val="nil"/>
                    <w:right w:val="nil"/>
                    <w:between w:val="nil"/>
                  </w:pBdr>
                  <w:jc w:val="both"/>
                  <w:rPr>
                    <w:color w:val="0F1115"/>
                    <w:sz w:val="18"/>
                    <w:szCs w:val="18"/>
                  </w:rPr>
                </w:pPr>
              </w:p>
            </w:tc>
            <w:tc>
              <w:tcPr>
                <w:tcW w:w="153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$ 401,000,000</w:t>
                </w:r>
              </w:p>
              <w:p w:rsidR="00743DA6" w:rsidRDefault="00743DA6">
                <w:pPr>
                  <w:pBdr>
                    <w:top w:val="nil"/>
                    <w:left w:val="nil"/>
                    <w:bottom w:val="nil"/>
                    <w:right w:val="nil"/>
                    <w:between w:val="nil"/>
                  </w:pBdr>
                  <w:jc w:val="both"/>
                  <w:rPr>
                    <w:color w:val="0F1115"/>
                    <w:sz w:val="18"/>
                    <w:szCs w:val="18"/>
                  </w:rPr>
                </w:pPr>
              </w:p>
            </w:tc>
            <w:tc>
              <w:tcPr>
                <w:tcW w:w="141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-$108,000,000</w:t>
                </w:r>
              </w:p>
              <w:p w:rsidR="00743DA6" w:rsidRDefault="00743DA6">
                <w:pPr>
                  <w:pBdr>
                    <w:top w:val="nil"/>
                    <w:left w:val="nil"/>
                    <w:bottom w:val="nil"/>
                    <w:right w:val="nil"/>
                    <w:between w:val="nil"/>
                  </w:pBdr>
                  <w:jc w:val="both"/>
                  <w:rPr>
                    <w:color w:val="0F1115"/>
                    <w:sz w:val="18"/>
                    <w:szCs w:val="18"/>
                  </w:rPr>
                </w:pPr>
              </w:p>
            </w:tc>
          </w:tr>
          <w:tr w:rsidR="00743DA6">
            <w:tc>
              <w:tcPr>
                <w:tcW w:w="438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Desarrollar 1 Metodología(s) para caracterizar los liderazgos de las mujeres en los territorios.</w:t>
                </w:r>
              </w:p>
            </w:tc>
            <w:tc>
              <w:tcPr>
                <w:tcW w:w="150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$305,000,000</w:t>
                </w:r>
              </w:p>
              <w:p w:rsidR="00743DA6" w:rsidRDefault="00743DA6">
                <w:pPr>
                  <w:pBdr>
                    <w:top w:val="nil"/>
                    <w:left w:val="nil"/>
                    <w:bottom w:val="nil"/>
                    <w:right w:val="nil"/>
                    <w:between w:val="nil"/>
                  </w:pBdr>
                  <w:jc w:val="both"/>
                  <w:rPr>
                    <w:color w:val="0F1115"/>
                    <w:sz w:val="18"/>
                    <w:szCs w:val="18"/>
                  </w:rPr>
                </w:pPr>
              </w:p>
            </w:tc>
            <w:tc>
              <w:tcPr>
                <w:tcW w:w="153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$ 225,000,000</w:t>
                </w:r>
              </w:p>
              <w:p w:rsidR="00743DA6" w:rsidRDefault="00743DA6">
                <w:pPr>
                  <w:pBdr>
                    <w:top w:val="nil"/>
                    <w:left w:val="nil"/>
                    <w:bottom w:val="nil"/>
                    <w:right w:val="nil"/>
                    <w:between w:val="nil"/>
                  </w:pBdr>
                  <w:jc w:val="both"/>
                  <w:rPr>
                    <w:color w:val="0F1115"/>
                    <w:sz w:val="18"/>
                    <w:szCs w:val="18"/>
                  </w:rPr>
                </w:pPr>
              </w:p>
            </w:tc>
            <w:tc>
              <w:tcPr>
                <w:tcW w:w="141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-$ 81,000,000</w:t>
                </w:r>
              </w:p>
              <w:p w:rsidR="00743DA6" w:rsidRDefault="00743DA6">
                <w:pPr>
                  <w:pBdr>
                    <w:top w:val="nil"/>
                    <w:left w:val="nil"/>
                    <w:bottom w:val="nil"/>
                    <w:right w:val="nil"/>
                    <w:between w:val="nil"/>
                  </w:pBdr>
                  <w:jc w:val="both"/>
                  <w:rPr>
                    <w:color w:val="0F1115"/>
                    <w:sz w:val="18"/>
                    <w:szCs w:val="18"/>
                  </w:rPr>
                </w:pPr>
              </w:p>
            </w:tc>
          </w:tr>
          <w:tr w:rsidR="00743DA6">
            <w:tc>
              <w:tcPr>
                <w:tcW w:w="438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Desarrollar 40 Proceso(s) formativos para fortalecer las capacidades y brindar herramientas a las mujeres en el ejercicio pleno del derecho a la participación y representación.</w:t>
                </w:r>
              </w:p>
            </w:tc>
            <w:tc>
              <w:tcPr>
                <w:tcW w:w="150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$ 514,000,000</w:t>
                </w:r>
              </w:p>
              <w:p w:rsidR="00743DA6" w:rsidRDefault="00743DA6">
                <w:pPr>
                  <w:pBdr>
                    <w:top w:val="nil"/>
                    <w:left w:val="nil"/>
                    <w:bottom w:val="nil"/>
                    <w:right w:val="nil"/>
                    <w:between w:val="nil"/>
                  </w:pBdr>
                  <w:jc w:val="both"/>
                  <w:rPr>
                    <w:color w:val="0F1115"/>
                    <w:sz w:val="18"/>
                    <w:szCs w:val="18"/>
                  </w:rPr>
                </w:pPr>
              </w:p>
            </w:tc>
            <w:tc>
              <w:tcPr>
                <w:tcW w:w="153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$ 435,000,000</w:t>
                </w:r>
              </w:p>
              <w:p w:rsidR="00743DA6" w:rsidRDefault="00743DA6">
                <w:pPr>
                  <w:pBdr>
                    <w:top w:val="nil"/>
                    <w:left w:val="nil"/>
                    <w:bottom w:val="nil"/>
                    <w:right w:val="nil"/>
                    <w:between w:val="nil"/>
                  </w:pBdr>
                  <w:jc w:val="both"/>
                  <w:rPr>
                    <w:color w:val="0F1115"/>
                    <w:sz w:val="18"/>
                    <w:szCs w:val="18"/>
                  </w:rPr>
                </w:pPr>
              </w:p>
            </w:tc>
            <w:tc>
              <w:tcPr>
                <w:tcW w:w="141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-$ 79,000,000</w:t>
                </w:r>
              </w:p>
              <w:p w:rsidR="00743DA6" w:rsidRDefault="00743DA6">
                <w:pPr>
                  <w:pBdr>
                    <w:top w:val="nil"/>
                    <w:left w:val="nil"/>
                    <w:bottom w:val="nil"/>
                    <w:right w:val="nil"/>
                    <w:between w:val="nil"/>
                  </w:pBdr>
                  <w:jc w:val="both"/>
                  <w:rPr>
                    <w:color w:val="0F1115"/>
                    <w:sz w:val="18"/>
                    <w:szCs w:val="18"/>
                  </w:rPr>
                </w:pPr>
              </w:p>
            </w:tc>
          </w:tr>
          <w:tr w:rsidR="00743DA6">
            <w:tc>
              <w:tcPr>
                <w:tcW w:w="438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Implementar 1 estrategia asociada al Modelo CIOM para la ruralidad Bogotana.</w:t>
                </w:r>
              </w:p>
            </w:tc>
            <w:tc>
              <w:tcPr>
                <w:tcW w:w="150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$222,000,000</w:t>
                </w:r>
              </w:p>
              <w:p w:rsidR="00743DA6" w:rsidRDefault="00743DA6">
                <w:pPr>
                  <w:pBdr>
                    <w:top w:val="nil"/>
                    <w:left w:val="nil"/>
                    <w:bottom w:val="nil"/>
                    <w:right w:val="nil"/>
                    <w:between w:val="nil"/>
                  </w:pBdr>
                  <w:jc w:val="both"/>
                  <w:rPr>
                    <w:color w:val="0F1115"/>
                    <w:sz w:val="18"/>
                    <w:szCs w:val="18"/>
                  </w:rPr>
                </w:pPr>
              </w:p>
            </w:tc>
            <w:tc>
              <w:tcPr>
                <w:tcW w:w="153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$160,000,000</w:t>
                </w:r>
              </w:p>
              <w:p w:rsidR="00743DA6" w:rsidRDefault="00743DA6">
                <w:pPr>
                  <w:pBdr>
                    <w:top w:val="nil"/>
                    <w:left w:val="nil"/>
                    <w:bottom w:val="nil"/>
                    <w:right w:val="nil"/>
                    <w:between w:val="nil"/>
                  </w:pBdr>
                  <w:jc w:val="both"/>
                  <w:rPr>
                    <w:color w:val="0F1115"/>
                    <w:sz w:val="18"/>
                    <w:szCs w:val="18"/>
                  </w:rPr>
                </w:pPr>
              </w:p>
            </w:tc>
            <w:tc>
              <w:tcPr>
                <w:tcW w:w="141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-$62,000,000</w:t>
                </w:r>
              </w:p>
              <w:p w:rsidR="00743DA6" w:rsidRDefault="00743DA6">
                <w:pPr>
                  <w:pBdr>
                    <w:top w:val="nil"/>
                    <w:left w:val="nil"/>
                    <w:bottom w:val="nil"/>
                    <w:right w:val="nil"/>
                    <w:between w:val="nil"/>
                  </w:pBdr>
                  <w:jc w:val="both"/>
                  <w:rPr>
                    <w:color w:val="0F1115"/>
                    <w:sz w:val="18"/>
                    <w:szCs w:val="18"/>
                  </w:rPr>
                </w:pPr>
              </w:p>
            </w:tc>
          </w:tr>
          <w:tr w:rsidR="00743DA6">
            <w:tc>
              <w:tcPr>
                <w:tcW w:w="438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Realizar el  100 Porciento de las actividades operativas y contractuales necesarias para brindar los servicios del Modelo Casa de Igualdad de Oportunidades (CIOM) en las 20 localidades de Bogotá.</w:t>
                </w:r>
              </w:p>
            </w:tc>
            <w:tc>
              <w:tcPr>
                <w:tcW w:w="150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$9.767,000,000</w:t>
                </w:r>
              </w:p>
              <w:p w:rsidR="00743DA6" w:rsidRDefault="00743DA6">
                <w:pPr>
                  <w:pBdr>
                    <w:top w:val="nil"/>
                    <w:left w:val="nil"/>
                    <w:bottom w:val="nil"/>
                    <w:right w:val="nil"/>
                    <w:between w:val="nil"/>
                  </w:pBdr>
                  <w:jc w:val="both"/>
                  <w:rPr>
                    <w:color w:val="0F1115"/>
                    <w:sz w:val="18"/>
                    <w:szCs w:val="18"/>
                  </w:rPr>
                </w:pPr>
              </w:p>
            </w:tc>
            <w:tc>
              <w:tcPr>
                <w:tcW w:w="153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$10.112,000,000</w:t>
                </w:r>
              </w:p>
              <w:p w:rsidR="00743DA6" w:rsidRDefault="00743DA6">
                <w:pPr>
                  <w:pBdr>
                    <w:top w:val="nil"/>
                    <w:left w:val="nil"/>
                    <w:bottom w:val="nil"/>
                    <w:right w:val="nil"/>
                    <w:between w:val="nil"/>
                  </w:pBdr>
                  <w:jc w:val="both"/>
                  <w:rPr>
                    <w:color w:val="0F1115"/>
                    <w:sz w:val="18"/>
                    <w:szCs w:val="18"/>
                  </w:rPr>
                </w:pPr>
              </w:p>
            </w:tc>
            <w:tc>
              <w:tcPr>
                <w:tcW w:w="141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color w:val="0F1115"/>
                    <w:sz w:val="18"/>
                    <w:szCs w:val="18"/>
                  </w:rPr>
                </w:pPr>
                <w:r>
                  <w:rPr>
                    <w:color w:val="0F1115"/>
                    <w:sz w:val="18"/>
                    <w:szCs w:val="18"/>
                  </w:rPr>
                  <w:t>$346,000,000</w:t>
                </w:r>
              </w:p>
              <w:p w:rsidR="00743DA6" w:rsidRDefault="00CB348A">
                <w:pPr>
                  <w:pBdr>
                    <w:top w:val="nil"/>
                    <w:left w:val="nil"/>
                    <w:bottom w:val="nil"/>
                    <w:right w:val="nil"/>
                    <w:between w:val="nil"/>
                  </w:pBdr>
                  <w:jc w:val="both"/>
                  <w:rPr>
                    <w:color w:val="0F1115"/>
                    <w:sz w:val="18"/>
                    <w:szCs w:val="18"/>
                  </w:rPr>
                </w:pPr>
              </w:p>
            </w:tc>
          </w:tr>
        </w:tbl>
      </w:sdtContent>
    </w:sdt>
    <w:p w:rsidR="00743DA6" w:rsidRDefault="00D95D19">
      <w:pPr>
        <w:shd w:val="clear" w:color="auto" w:fill="FFFFFF"/>
        <w:rPr>
          <w:sz w:val="18"/>
          <w:szCs w:val="18"/>
        </w:rPr>
      </w:pPr>
      <w:r>
        <w:rPr>
          <w:sz w:val="18"/>
          <w:szCs w:val="18"/>
        </w:rPr>
        <w:t>Fuente: Elaboración propia con base en la información suministrada por SDH (2025)</w:t>
      </w:r>
    </w:p>
    <w:p w:rsidR="00743DA6" w:rsidRDefault="00D95D19">
      <w:pPr>
        <w:shd w:val="clear" w:color="auto" w:fill="FFFFFF"/>
        <w:spacing w:before="240" w:after="240"/>
        <w:jc w:val="both"/>
        <w:rPr>
          <w:sz w:val="22"/>
          <w:szCs w:val="22"/>
        </w:rPr>
      </w:pPr>
      <w:r>
        <w:rPr>
          <w:sz w:val="22"/>
          <w:szCs w:val="22"/>
        </w:rPr>
        <w:t>Estas cifras son alarmantes al revisar la operatividad de la Secretaría de la Mujer en torno a las Casas de igualdad de oportunidades para garantizar la continuidad de operación de las 20 Casas de Igualdad y de la estrategia rural, además de alcanzar 40 procesos formativos para fortalecer las capacidades y brindar herramientas a las mujeres en el ejercicio pleno del derecho a la participación y representación, en estos términos la secretaría deberá reducir su personal, con catorce profesionales menos en las casas.  Además para el 2026 se planea consolidar la Estrategia Caminando Juntas con las Mujeres por la Ruralidad, para llevar el modelo CIOM y la oferta institucional a las mujeres rurales y campesinas de la ciudad.</w:t>
      </w:r>
    </w:p>
    <w:p w:rsidR="00743DA6" w:rsidRDefault="00D95D19">
      <w:pPr>
        <w:shd w:val="clear" w:color="auto" w:fill="FFFFFF"/>
        <w:spacing w:before="240" w:after="240"/>
        <w:jc w:val="both"/>
        <w:rPr>
          <w:sz w:val="22"/>
          <w:szCs w:val="22"/>
        </w:rPr>
      </w:pPr>
      <w:r>
        <w:rPr>
          <w:sz w:val="22"/>
          <w:szCs w:val="22"/>
        </w:rPr>
        <w:t xml:space="preserve">Por ejemplo en la actividad de brindar el 100 por ciento de los tres servicios priorizados para la atención a través del modelo CIOM: primera atención profesional (trabajo social), orientación y seguimiento psicosocial y orientación, asesoría y seguimiento sociojurídico que tiene una reducción presupuestal de 747 millones de pesos para 2026, se realizaron más de 1.880 atenciones psicosociales y 1.720 atenciones socio jurídicas de junio a diciembre de 2024, es así como la decisión presupuestal de la administración distrital pone en riesgo la cantidad de atenciones a mujeres, y además de eso limita exponencialmente la posibilidad de ampliar el servicio, siendo lo ideal para la garantía de los derechos de las mujeres y una vida libre de violencias. </w:t>
      </w:r>
    </w:p>
    <w:p w:rsidR="00743DA6" w:rsidRDefault="00D95D19">
      <w:pPr>
        <w:shd w:val="clear" w:color="auto" w:fill="FFFFFF"/>
        <w:spacing w:before="240" w:after="240"/>
        <w:jc w:val="both"/>
        <w:rPr>
          <w:sz w:val="22"/>
          <w:szCs w:val="22"/>
        </w:rPr>
      </w:pPr>
      <w:r>
        <w:rPr>
          <w:sz w:val="22"/>
          <w:szCs w:val="22"/>
        </w:rPr>
        <w:t>Para el Objetivo 3 del PDD Bogotá confía en su potencial la Secretaría de la Mujer destina el 7,3% de su presupuesto, en donde se enmarca el proyecto 8232 Implementación de estrategias para el empoderamiento económico de las mujeres en toda su diversidad en Bogotá D.C. que para el 2026 contará con una reducción de $179  millones de pesos, a continuación se presenta una tabla a detalle</w:t>
      </w:r>
    </w:p>
    <w:p w:rsidR="00743DA6" w:rsidRDefault="00D95D19">
      <w:pPr>
        <w:shd w:val="clear" w:color="auto" w:fill="FFFFFF"/>
        <w:spacing w:before="240" w:after="240"/>
        <w:jc w:val="center"/>
        <w:rPr>
          <w:sz w:val="22"/>
          <w:szCs w:val="22"/>
        </w:rPr>
      </w:pPr>
      <w:r>
        <w:rPr>
          <w:b/>
          <w:bCs/>
          <w:sz w:val="22"/>
          <w:szCs w:val="22"/>
        </w:rPr>
        <w:t xml:space="preserve">Tabla No. 56. </w:t>
      </w:r>
      <w:r>
        <w:rPr>
          <w:sz w:val="22"/>
          <w:szCs w:val="22"/>
        </w:rPr>
        <w:t xml:space="preserve">Proyecto 8232 Implementación de estrategias para el empoderamiento económico de las mujeres </w:t>
      </w:r>
    </w:p>
    <w:sdt>
      <w:sdtPr>
        <w:rPr>
          <w:rFonts w:ascii="Arial" w:eastAsia="Arial" w:hAnsi="Arial" w:cs="Arial"/>
          <w:sz w:val="24"/>
          <w:szCs w:val="24"/>
          <w:lang w:val="es" w:eastAsia="es-CO"/>
        </w:rPr>
        <w:tag w:val="goog_rdk_901"/>
        <w:id w:val="455380018"/>
        <w:lock w:val="contentLocked"/>
      </w:sdtPr>
      <w:sdtEndPr/>
      <w:sdtContent>
        <w:tbl>
          <w:tblPr>
            <w:tblStyle w:val="affffffff2"/>
            <w:tblW w:w="8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35"/>
            <w:gridCol w:w="1470"/>
            <w:gridCol w:w="1320"/>
            <w:gridCol w:w="1395"/>
          </w:tblGrid>
          <w:tr w:rsidR="00743DA6">
            <w:trPr>
              <w:trHeight w:val="370"/>
            </w:trPr>
            <w:tc>
              <w:tcPr>
                <w:tcW w:w="4635" w:type="dxa"/>
                <w:shd w:val="clear" w:color="auto" w:fill="auto"/>
                <w:tcMar>
                  <w:top w:w="100" w:type="dxa"/>
                  <w:left w:w="100" w:type="dxa"/>
                  <w:bottom w:w="100" w:type="dxa"/>
                  <w:right w:w="100" w:type="dxa"/>
                </w:tcMar>
              </w:tcPr>
              <w:p w:rsidR="00743DA6" w:rsidRDefault="00D95D19">
                <w:pPr>
                  <w:jc w:val="center"/>
                  <w:rPr>
                    <w:color w:val="0F1115"/>
                    <w:sz w:val="18"/>
                    <w:szCs w:val="18"/>
                  </w:rPr>
                </w:pPr>
                <w:r>
                  <w:rPr>
                    <w:color w:val="0F1115"/>
                    <w:sz w:val="18"/>
                    <w:szCs w:val="18"/>
                  </w:rPr>
                  <w:t>Actividad</w:t>
                </w:r>
              </w:p>
            </w:tc>
            <w:tc>
              <w:tcPr>
                <w:tcW w:w="1470" w:type="dxa"/>
                <w:shd w:val="clear" w:color="auto" w:fill="auto"/>
                <w:tcMar>
                  <w:top w:w="100" w:type="dxa"/>
                  <w:left w:w="100" w:type="dxa"/>
                  <w:bottom w:w="100" w:type="dxa"/>
                  <w:right w:w="100" w:type="dxa"/>
                </w:tcMar>
              </w:tcPr>
              <w:p w:rsidR="00743DA6" w:rsidRDefault="00D95D19">
                <w:pPr>
                  <w:jc w:val="center"/>
                  <w:rPr>
                    <w:color w:val="0F1115"/>
                    <w:sz w:val="18"/>
                    <w:szCs w:val="18"/>
                  </w:rPr>
                </w:pPr>
                <w:r>
                  <w:rPr>
                    <w:color w:val="0F1115"/>
                    <w:sz w:val="18"/>
                    <w:szCs w:val="18"/>
                  </w:rPr>
                  <w:t>2025_PROG</w:t>
                </w:r>
              </w:p>
              <w:p w:rsidR="00743DA6" w:rsidRDefault="00743DA6">
                <w:pPr>
                  <w:jc w:val="center"/>
                  <w:rPr>
                    <w:color w:val="0F1115"/>
                    <w:sz w:val="18"/>
                    <w:szCs w:val="18"/>
                  </w:rPr>
                </w:pPr>
              </w:p>
            </w:tc>
            <w:tc>
              <w:tcPr>
                <w:tcW w:w="1320" w:type="dxa"/>
                <w:shd w:val="clear" w:color="auto" w:fill="auto"/>
                <w:tcMar>
                  <w:top w:w="100" w:type="dxa"/>
                  <w:left w:w="100" w:type="dxa"/>
                  <w:bottom w:w="100" w:type="dxa"/>
                  <w:right w:w="100" w:type="dxa"/>
                </w:tcMar>
              </w:tcPr>
              <w:p w:rsidR="00743DA6" w:rsidRDefault="00D95D19">
                <w:pPr>
                  <w:jc w:val="center"/>
                  <w:rPr>
                    <w:color w:val="0F1115"/>
                    <w:sz w:val="18"/>
                    <w:szCs w:val="18"/>
                  </w:rPr>
                </w:pPr>
                <w:r>
                  <w:rPr>
                    <w:color w:val="0F1115"/>
                    <w:sz w:val="18"/>
                    <w:szCs w:val="18"/>
                  </w:rPr>
                  <w:t>2026_PROG</w:t>
                </w:r>
              </w:p>
              <w:p w:rsidR="00743DA6" w:rsidRDefault="00743DA6">
                <w:pPr>
                  <w:jc w:val="center"/>
                  <w:rPr>
                    <w:color w:val="0F1115"/>
                    <w:sz w:val="18"/>
                    <w:szCs w:val="18"/>
                  </w:rPr>
                </w:pPr>
              </w:p>
            </w:tc>
            <w:tc>
              <w:tcPr>
                <w:tcW w:w="1395" w:type="dxa"/>
                <w:shd w:val="clear" w:color="auto" w:fill="auto"/>
                <w:tcMar>
                  <w:top w:w="100" w:type="dxa"/>
                  <w:left w:w="100" w:type="dxa"/>
                  <w:bottom w:w="100" w:type="dxa"/>
                  <w:right w:w="100" w:type="dxa"/>
                </w:tcMar>
              </w:tcPr>
              <w:p w:rsidR="00743DA6" w:rsidRDefault="00D95D19">
                <w:pPr>
                  <w:jc w:val="center"/>
                  <w:rPr>
                    <w:color w:val="0F1115"/>
                    <w:sz w:val="18"/>
                    <w:szCs w:val="18"/>
                  </w:rPr>
                </w:pPr>
                <w:r>
                  <w:rPr>
                    <w:color w:val="0F1115"/>
                    <w:sz w:val="18"/>
                    <w:szCs w:val="18"/>
                  </w:rPr>
                  <w:t>Diferencia PROG</w:t>
                </w:r>
              </w:p>
              <w:p w:rsidR="00743DA6" w:rsidRDefault="00743DA6">
                <w:pPr>
                  <w:jc w:val="center"/>
                  <w:rPr>
                    <w:color w:val="0F1115"/>
                    <w:sz w:val="18"/>
                    <w:szCs w:val="18"/>
                  </w:rPr>
                </w:pPr>
              </w:p>
            </w:tc>
          </w:tr>
          <w:tr w:rsidR="00743DA6">
            <w:tc>
              <w:tcPr>
                <w:tcW w:w="4635"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sz w:val="18"/>
                    <w:szCs w:val="18"/>
                  </w:rPr>
                </w:pPr>
                <w:r>
                  <w:rPr>
                    <w:sz w:val="18"/>
                    <w:szCs w:val="18"/>
                  </w:rPr>
                  <w:t>Desarrollar 1 Estrategia(s) para potenciar las habilidades y capacidades de las mujeres en sus diversidades que aporten a su empoderamiento y autonomía económica</w:t>
                </w:r>
              </w:p>
            </w:tc>
            <w:tc>
              <w:tcPr>
                <w:tcW w:w="147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$1.019.000.000</w:t>
                </w:r>
              </w:p>
            </w:tc>
            <w:tc>
              <w:tcPr>
                <w:tcW w:w="13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$920.000.000</w:t>
                </w:r>
              </w:p>
              <w:p w:rsidR="00743DA6" w:rsidRDefault="00743DA6">
                <w:pPr>
                  <w:pBdr>
                    <w:top w:val="nil"/>
                    <w:left w:val="nil"/>
                    <w:bottom w:val="nil"/>
                    <w:right w:val="nil"/>
                    <w:between w:val="nil"/>
                  </w:pBdr>
                  <w:rPr>
                    <w:sz w:val="18"/>
                    <w:szCs w:val="18"/>
                  </w:rPr>
                </w:pPr>
              </w:p>
            </w:tc>
            <w:tc>
              <w:tcPr>
                <w:tcW w:w="1395"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-$100.000.000</w:t>
                </w:r>
              </w:p>
              <w:p w:rsidR="00743DA6" w:rsidRDefault="00743DA6">
                <w:pPr>
                  <w:pBdr>
                    <w:top w:val="nil"/>
                    <w:left w:val="nil"/>
                    <w:bottom w:val="nil"/>
                    <w:right w:val="nil"/>
                    <w:between w:val="nil"/>
                  </w:pBdr>
                  <w:rPr>
                    <w:sz w:val="18"/>
                    <w:szCs w:val="18"/>
                  </w:rPr>
                </w:pPr>
              </w:p>
            </w:tc>
          </w:tr>
          <w:tr w:rsidR="00743DA6">
            <w:tc>
              <w:tcPr>
                <w:tcW w:w="4635"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sz w:val="18"/>
                    <w:szCs w:val="18"/>
                  </w:rPr>
                </w:pPr>
                <w:r>
                  <w:rPr>
                    <w:sz w:val="18"/>
                    <w:szCs w:val="18"/>
                  </w:rPr>
                  <w:t>Cualificar 9000 Mujer(es) en sus diferencias y diversidades en herramientas para la autonomía económica</w:t>
                </w:r>
              </w:p>
            </w:tc>
            <w:tc>
              <w:tcPr>
                <w:tcW w:w="147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$571.000.000</w:t>
                </w:r>
              </w:p>
              <w:p w:rsidR="00743DA6" w:rsidRDefault="00743DA6">
                <w:pPr>
                  <w:pBdr>
                    <w:top w:val="nil"/>
                    <w:left w:val="nil"/>
                    <w:bottom w:val="nil"/>
                    <w:right w:val="nil"/>
                    <w:between w:val="nil"/>
                  </w:pBdr>
                  <w:rPr>
                    <w:sz w:val="18"/>
                    <w:szCs w:val="18"/>
                  </w:rPr>
                </w:pPr>
              </w:p>
            </w:tc>
            <w:tc>
              <w:tcPr>
                <w:tcW w:w="13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$493.000.000</w:t>
                </w:r>
              </w:p>
              <w:p w:rsidR="00743DA6" w:rsidRDefault="00743DA6">
                <w:pPr>
                  <w:pBdr>
                    <w:top w:val="nil"/>
                    <w:left w:val="nil"/>
                    <w:bottom w:val="nil"/>
                    <w:right w:val="nil"/>
                    <w:between w:val="nil"/>
                  </w:pBdr>
                  <w:rPr>
                    <w:sz w:val="18"/>
                    <w:szCs w:val="18"/>
                  </w:rPr>
                </w:pPr>
              </w:p>
            </w:tc>
            <w:tc>
              <w:tcPr>
                <w:tcW w:w="1395"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-$78.000.000</w:t>
                </w:r>
              </w:p>
              <w:p w:rsidR="00743DA6" w:rsidRDefault="00743DA6">
                <w:pPr>
                  <w:pBdr>
                    <w:top w:val="nil"/>
                    <w:left w:val="nil"/>
                    <w:bottom w:val="nil"/>
                    <w:right w:val="nil"/>
                    <w:between w:val="nil"/>
                  </w:pBdr>
                  <w:rPr>
                    <w:sz w:val="18"/>
                    <w:szCs w:val="18"/>
                  </w:rPr>
                </w:pPr>
              </w:p>
            </w:tc>
          </w:tr>
          <w:tr w:rsidR="00743DA6">
            <w:tc>
              <w:tcPr>
                <w:tcW w:w="4635"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sz w:val="18"/>
                    <w:szCs w:val="18"/>
                  </w:rPr>
                </w:pPr>
                <w:r>
                  <w:rPr>
                    <w:sz w:val="18"/>
                    <w:szCs w:val="18"/>
                  </w:rPr>
                  <w:t>Gestionar 1 Portafolio(s) de oportunidades a través de aliados públicos y privados para el empoderamiento y autonomía económica de las mujeres de Bogotá</w:t>
                </w:r>
              </w:p>
            </w:tc>
            <w:tc>
              <w:tcPr>
                <w:tcW w:w="147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$331.000.000</w:t>
                </w:r>
              </w:p>
              <w:p w:rsidR="00743DA6" w:rsidRDefault="00743DA6">
                <w:pPr>
                  <w:pBdr>
                    <w:top w:val="nil"/>
                    <w:left w:val="nil"/>
                    <w:bottom w:val="nil"/>
                    <w:right w:val="nil"/>
                    <w:between w:val="nil"/>
                  </w:pBdr>
                  <w:rPr>
                    <w:sz w:val="18"/>
                    <w:szCs w:val="18"/>
                  </w:rPr>
                </w:pPr>
              </w:p>
            </w:tc>
            <w:tc>
              <w:tcPr>
                <w:tcW w:w="13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$330.000.000</w:t>
                </w:r>
              </w:p>
              <w:p w:rsidR="00743DA6" w:rsidRDefault="00743DA6">
                <w:pPr>
                  <w:pBdr>
                    <w:top w:val="nil"/>
                    <w:left w:val="nil"/>
                    <w:bottom w:val="nil"/>
                    <w:right w:val="nil"/>
                    <w:between w:val="nil"/>
                  </w:pBdr>
                  <w:rPr>
                    <w:sz w:val="18"/>
                    <w:szCs w:val="18"/>
                  </w:rPr>
                </w:pPr>
              </w:p>
            </w:tc>
            <w:tc>
              <w:tcPr>
                <w:tcW w:w="1395"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-$1.000.000</w:t>
                </w:r>
              </w:p>
              <w:p w:rsidR="00743DA6" w:rsidRDefault="00CB348A">
                <w:pPr>
                  <w:pBdr>
                    <w:top w:val="nil"/>
                    <w:left w:val="nil"/>
                    <w:bottom w:val="nil"/>
                    <w:right w:val="nil"/>
                    <w:between w:val="nil"/>
                  </w:pBdr>
                  <w:rPr>
                    <w:sz w:val="18"/>
                    <w:szCs w:val="18"/>
                  </w:rPr>
                </w:pPr>
              </w:p>
            </w:tc>
          </w:tr>
        </w:tbl>
      </w:sdtContent>
    </w:sdt>
    <w:p w:rsidR="00743DA6" w:rsidRDefault="00D95D19">
      <w:pPr>
        <w:shd w:val="clear" w:color="auto" w:fill="FFFFFF"/>
        <w:jc w:val="center"/>
        <w:rPr>
          <w:sz w:val="18"/>
          <w:szCs w:val="18"/>
        </w:rPr>
      </w:pPr>
      <w:r>
        <w:rPr>
          <w:sz w:val="18"/>
          <w:szCs w:val="18"/>
        </w:rPr>
        <w:t>Fuente: Elaboración propia con base en la información suministrada por SDH (2025)</w:t>
      </w:r>
    </w:p>
    <w:p w:rsidR="00743DA6" w:rsidRDefault="00D95D19">
      <w:pPr>
        <w:shd w:val="clear" w:color="auto" w:fill="FFFFFF"/>
        <w:spacing w:before="240" w:after="240"/>
        <w:jc w:val="both"/>
        <w:rPr>
          <w:sz w:val="22"/>
          <w:szCs w:val="22"/>
        </w:rPr>
      </w:pPr>
      <w:r>
        <w:rPr>
          <w:sz w:val="22"/>
          <w:szCs w:val="22"/>
        </w:rPr>
        <w:t>Estas decisiones presupuestales implican poner en juego la cualificación de 3000 mujeres en herramientas para la autonomía económicas proyectadas para 2026, además de complejizar la realización de retos propuestos para el proyecto como: consolidar la ruta de cualificación para la autonomía económica de las mujeres, fortalecer técnicamente los módulos de derechos humanos y habilidades socioemocionales que aporten a la autonomía económica de las mujeres.Además de ampliar la oferta para el fortalecimiento de emprendimientos en etapa de ideación a través de alianzas con el sector público y privado que permitan a las mujeres materializar sus ideas y alcanzar así su autonomía económica, y por ultimo  consolidar la Ruta integral de Acceso al Trabajo para Mujeres Víctimas de Violencia y que realizan Trabajos de Cuidado no Remunerado de la Secretaría Distrital de Desarrollo Económico</w:t>
      </w:r>
    </w:p>
    <w:p w:rsidR="00743DA6" w:rsidRDefault="00D95D19">
      <w:pPr>
        <w:shd w:val="clear" w:color="auto" w:fill="FFFFFF"/>
        <w:spacing w:before="240" w:after="240"/>
        <w:jc w:val="both"/>
        <w:rPr>
          <w:sz w:val="22"/>
          <w:szCs w:val="22"/>
        </w:rPr>
      </w:pPr>
      <w:r>
        <w:rPr>
          <w:sz w:val="22"/>
          <w:szCs w:val="22"/>
        </w:rPr>
        <w:t>Para finalizar es alarmante la reducción presupuestal en el proyecto  8221 Ampliación de los servicios con enfoque diferencial para la atención a mujeres que ejercen actividades sexuales pagadas (ASP) en Bogotá D.C, desconociendo en parte las situaciones de vulnerabilidad a las que las mujeres están propensas, en términos de actividades se evidencia una reducción en dos de tres de sus actividades de la siguiente manera:</w:t>
      </w:r>
    </w:p>
    <w:p w:rsidR="00743DA6" w:rsidRDefault="00D95D19">
      <w:pPr>
        <w:shd w:val="clear" w:color="auto" w:fill="FFFFFF"/>
        <w:spacing w:before="240" w:after="240"/>
        <w:jc w:val="center"/>
        <w:rPr>
          <w:sz w:val="22"/>
          <w:szCs w:val="22"/>
        </w:rPr>
      </w:pPr>
      <w:r>
        <w:rPr>
          <w:b/>
          <w:bCs/>
          <w:sz w:val="22"/>
          <w:szCs w:val="22"/>
        </w:rPr>
        <w:t>Tabla No. 57</w:t>
      </w:r>
      <w:r>
        <w:rPr>
          <w:sz w:val="22"/>
          <w:szCs w:val="22"/>
        </w:rPr>
        <w:t xml:space="preserve">. Presupuesto proyecto  8221 Ampliación de los servicios con enfoque diferencial para la atención a mujeres que ejercen actividades sexuales pagadas (ASP) </w:t>
      </w:r>
    </w:p>
    <w:sdt>
      <w:sdtPr>
        <w:rPr>
          <w:rFonts w:ascii="Arial" w:eastAsia="Arial" w:hAnsi="Arial" w:cs="Arial"/>
          <w:sz w:val="24"/>
          <w:szCs w:val="24"/>
          <w:lang w:val="es" w:eastAsia="es-CO"/>
        </w:rPr>
        <w:tag w:val="goog_rdk_902"/>
        <w:id w:val="-155567951"/>
        <w:lock w:val="contentLocked"/>
      </w:sdtPr>
      <w:sdtEndPr/>
      <w:sdtContent>
        <w:tbl>
          <w:tblPr>
            <w:tblStyle w:val="affffffff3"/>
            <w:tblW w:w="87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90"/>
            <w:gridCol w:w="1380"/>
            <w:gridCol w:w="1470"/>
            <w:gridCol w:w="1290"/>
          </w:tblGrid>
          <w:tr w:rsidR="00743DA6">
            <w:tc>
              <w:tcPr>
                <w:tcW w:w="4590" w:type="dxa"/>
                <w:shd w:val="clear" w:color="auto" w:fill="auto"/>
                <w:tcMar>
                  <w:top w:w="100" w:type="dxa"/>
                  <w:left w:w="100" w:type="dxa"/>
                  <w:bottom w:w="100" w:type="dxa"/>
                  <w:right w:w="100" w:type="dxa"/>
                </w:tcMar>
              </w:tcPr>
              <w:p w:rsidR="00743DA6" w:rsidRDefault="00D95D19">
                <w:pPr>
                  <w:jc w:val="center"/>
                  <w:rPr>
                    <w:color w:val="0F1115"/>
                    <w:sz w:val="18"/>
                    <w:szCs w:val="18"/>
                  </w:rPr>
                </w:pPr>
                <w:r>
                  <w:rPr>
                    <w:color w:val="0F1115"/>
                    <w:sz w:val="18"/>
                    <w:szCs w:val="18"/>
                  </w:rPr>
                  <w:t>Actividad</w:t>
                </w:r>
              </w:p>
            </w:tc>
            <w:tc>
              <w:tcPr>
                <w:tcW w:w="1380" w:type="dxa"/>
                <w:shd w:val="clear" w:color="auto" w:fill="auto"/>
                <w:tcMar>
                  <w:top w:w="100" w:type="dxa"/>
                  <w:left w:w="100" w:type="dxa"/>
                  <w:bottom w:w="100" w:type="dxa"/>
                  <w:right w:w="100" w:type="dxa"/>
                </w:tcMar>
              </w:tcPr>
              <w:p w:rsidR="00743DA6" w:rsidRDefault="00D95D19">
                <w:pPr>
                  <w:jc w:val="center"/>
                  <w:rPr>
                    <w:color w:val="0F1115"/>
                    <w:sz w:val="18"/>
                    <w:szCs w:val="18"/>
                  </w:rPr>
                </w:pPr>
                <w:r>
                  <w:rPr>
                    <w:color w:val="0F1115"/>
                    <w:sz w:val="18"/>
                    <w:szCs w:val="18"/>
                  </w:rPr>
                  <w:t>2025_PROG</w:t>
                </w:r>
              </w:p>
              <w:p w:rsidR="00743DA6" w:rsidRDefault="00743DA6">
                <w:pPr>
                  <w:jc w:val="center"/>
                  <w:rPr>
                    <w:color w:val="0F1115"/>
                    <w:sz w:val="18"/>
                    <w:szCs w:val="18"/>
                  </w:rPr>
                </w:pPr>
              </w:p>
            </w:tc>
            <w:tc>
              <w:tcPr>
                <w:tcW w:w="1470" w:type="dxa"/>
                <w:shd w:val="clear" w:color="auto" w:fill="auto"/>
                <w:tcMar>
                  <w:top w:w="100" w:type="dxa"/>
                  <w:left w:w="100" w:type="dxa"/>
                  <w:bottom w:w="100" w:type="dxa"/>
                  <w:right w:w="100" w:type="dxa"/>
                </w:tcMar>
              </w:tcPr>
              <w:p w:rsidR="00743DA6" w:rsidRDefault="00D95D19">
                <w:pPr>
                  <w:jc w:val="center"/>
                  <w:rPr>
                    <w:color w:val="0F1115"/>
                    <w:sz w:val="18"/>
                    <w:szCs w:val="18"/>
                  </w:rPr>
                </w:pPr>
                <w:r>
                  <w:rPr>
                    <w:color w:val="0F1115"/>
                    <w:sz w:val="18"/>
                    <w:szCs w:val="18"/>
                  </w:rPr>
                  <w:t>2026_PROG</w:t>
                </w:r>
              </w:p>
              <w:p w:rsidR="00743DA6" w:rsidRDefault="00743DA6">
                <w:pPr>
                  <w:jc w:val="center"/>
                  <w:rPr>
                    <w:color w:val="0F1115"/>
                    <w:sz w:val="18"/>
                    <w:szCs w:val="18"/>
                  </w:rPr>
                </w:pPr>
              </w:p>
            </w:tc>
            <w:tc>
              <w:tcPr>
                <w:tcW w:w="1290" w:type="dxa"/>
                <w:shd w:val="clear" w:color="auto" w:fill="auto"/>
                <w:tcMar>
                  <w:top w:w="100" w:type="dxa"/>
                  <w:left w:w="100" w:type="dxa"/>
                  <w:bottom w:w="100" w:type="dxa"/>
                  <w:right w:w="100" w:type="dxa"/>
                </w:tcMar>
              </w:tcPr>
              <w:p w:rsidR="00743DA6" w:rsidRDefault="00D95D19">
                <w:pPr>
                  <w:jc w:val="center"/>
                  <w:rPr>
                    <w:color w:val="0F1115"/>
                    <w:sz w:val="18"/>
                    <w:szCs w:val="18"/>
                  </w:rPr>
                </w:pPr>
                <w:r>
                  <w:rPr>
                    <w:color w:val="0F1115"/>
                    <w:sz w:val="18"/>
                    <w:szCs w:val="18"/>
                  </w:rPr>
                  <w:t>Diferencia PROG</w:t>
                </w:r>
              </w:p>
              <w:p w:rsidR="00743DA6" w:rsidRDefault="00743DA6">
                <w:pPr>
                  <w:jc w:val="center"/>
                  <w:rPr>
                    <w:color w:val="0F1115"/>
                    <w:sz w:val="18"/>
                    <w:szCs w:val="18"/>
                  </w:rPr>
                </w:pPr>
              </w:p>
            </w:tc>
          </w:tr>
          <w:tr w:rsidR="00743DA6">
            <w:tc>
              <w:tcPr>
                <w:tcW w:w="459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sz w:val="18"/>
                    <w:szCs w:val="18"/>
                  </w:rPr>
                </w:pPr>
                <w:r>
                  <w:rPr>
                    <w:sz w:val="18"/>
                    <w:szCs w:val="18"/>
                  </w:rPr>
                  <w:t>Realizar el 100 Porciento de atenciones psicosociales (valoraciones iniciales, asesoría, seguimientos y cierres) a mujeres que realizan actividades sexuales pagadas.</w:t>
                </w:r>
              </w:p>
            </w:tc>
            <w:tc>
              <w:tcPr>
                <w:tcW w:w="138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$981.000.000</w:t>
                </w:r>
              </w:p>
              <w:p w:rsidR="00743DA6" w:rsidRDefault="00743DA6">
                <w:pPr>
                  <w:pBdr>
                    <w:top w:val="nil"/>
                    <w:left w:val="nil"/>
                    <w:bottom w:val="nil"/>
                    <w:right w:val="nil"/>
                    <w:between w:val="nil"/>
                  </w:pBdr>
                  <w:rPr>
                    <w:sz w:val="18"/>
                    <w:szCs w:val="18"/>
                  </w:rPr>
                </w:pPr>
              </w:p>
            </w:tc>
            <w:tc>
              <w:tcPr>
                <w:tcW w:w="147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$1.007.000.000</w:t>
                </w:r>
              </w:p>
              <w:p w:rsidR="00743DA6" w:rsidRDefault="00743DA6">
                <w:pPr>
                  <w:pBdr>
                    <w:top w:val="nil"/>
                    <w:left w:val="nil"/>
                    <w:bottom w:val="nil"/>
                    <w:right w:val="nil"/>
                    <w:between w:val="nil"/>
                  </w:pBdr>
                  <w:rPr>
                    <w:sz w:val="18"/>
                    <w:szCs w:val="18"/>
                  </w:rPr>
                </w:pPr>
              </w:p>
            </w:tc>
            <w:tc>
              <w:tcPr>
                <w:tcW w:w="129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rPr>
                    <w:sz w:val="18"/>
                    <w:szCs w:val="18"/>
                  </w:rPr>
                </w:pPr>
                <w:r>
                  <w:rPr>
                    <w:sz w:val="18"/>
                    <w:szCs w:val="18"/>
                  </w:rPr>
                  <w:t>$26.000.000</w:t>
                </w:r>
              </w:p>
              <w:p w:rsidR="00743DA6" w:rsidRDefault="00743DA6">
                <w:pPr>
                  <w:pBdr>
                    <w:top w:val="nil"/>
                    <w:left w:val="nil"/>
                    <w:bottom w:val="nil"/>
                    <w:right w:val="nil"/>
                    <w:between w:val="nil"/>
                  </w:pBdr>
                  <w:rPr>
                    <w:sz w:val="18"/>
                    <w:szCs w:val="18"/>
                  </w:rPr>
                </w:pPr>
              </w:p>
            </w:tc>
          </w:tr>
          <w:tr w:rsidR="00743DA6">
            <w:tc>
              <w:tcPr>
                <w:tcW w:w="459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sz w:val="18"/>
                    <w:szCs w:val="18"/>
                  </w:rPr>
                </w:pPr>
                <w:r>
                  <w:rPr>
                    <w:sz w:val="18"/>
                    <w:szCs w:val="18"/>
                  </w:rPr>
                  <w:t>Realizar el 100 Porciento de atenciones jurídicas (orientación, asesoría y representación jurídica) a mujeres que realizan actividades sexuales pagadas</w:t>
                </w:r>
              </w:p>
            </w:tc>
            <w:tc>
              <w:tcPr>
                <w:tcW w:w="1380" w:type="dxa"/>
                <w:shd w:val="clear" w:color="auto" w:fill="auto"/>
                <w:tcMar>
                  <w:top w:w="100" w:type="dxa"/>
                  <w:left w:w="100" w:type="dxa"/>
                  <w:bottom w:w="100" w:type="dxa"/>
                  <w:right w:w="100" w:type="dxa"/>
                </w:tcMar>
              </w:tcPr>
              <w:p w:rsidR="00743DA6" w:rsidRDefault="00D95D19">
                <w:pPr>
                  <w:rPr>
                    <w:sz w:val="18"/>
                    <w:szCs w:val="18"/>
                  </w:rPr>
                </w:pPr>
                <w:r>
                  <w:rPr>
                    <w:sz w:val="18"/>
                    <w:szCs w:val="18"/>
                  </w:rPr>
                  <w:t>$789.000.000</w:t>
                </w:r>
              </w:p>
              <w:p w:rsidR="00743DA6" w:rsidRDefault="00743DA6">
                <w:pPr>
                  <w:rPr>
                    <w:sz w:val="18"/>
                    <w:szCs w:val="18"/>
                  </w:rPr>
                </w:pPr>
              </w:p>
              <w:p w:rsidR="00743DA6" w:rsidRDefault="00743DA6">
                <w:pPr>
                  <w:pBdr>
                    <w:top w:val="nil"/>
                    <w:left w:val="nil"/>
                    <w:bottom w:val="nil"/>
                    <w:right w:val="nil"/>
                    <w:between w:val="nil"/>
                  </w:pBdr>
                  <w:rPr>
                    <w:sz w:val="18"/>
                    <w:szCs w:val="18"/>
                  </w:rPr>
                </w:pPr>
              </w:p>
            </w:tc>
            <w:tc>
              <w:tcPr>
                <w:tcW w:w="1470" w:type="dxa"/>
                <w:shd w:val="clear" w:color="auto" w:fill="auto"/>
                <w:tcMar>
                  <w:top w:w="100" w:type="dxa"/>
                  <w:left w:w="100" w:type="dxa"/>
                  <w:bottom w:w="100" w:type="dxa"/>
                  <w:right w:w="100" w:type="dxa"/>
                </w:tcMar>
              </w:tcPr>
              <w:p w:rsidR="00743DA6" w:rsidRDefault="00D95D19">
                <w:pPr>
                  <w:rPr>
                    <w:sz w:val="18"/>
                    <w:szCs w:val="18"/>
                  </w:rPr>
                </w:pPr>
                <w:r>
                  <w:rPr>
                    <w:sz w:val="18"/>
                    <w:szCs w:val="18"/>
                  </w:rPr>
                  <w:t>$649.000.000</w:t>
                </w:r>
              </w:p>
              <w:p w:rsidR="00743DA6" w:rsidRDefault="00743DA6">
                <w:pPr>
                  <w:pBdr>
                    <w:top w:val="nil"/>
                    <w:left w:val="nil"/>
                    <w:bottom w:val="nil"/>
                    <w:right w:val="nil"/>
                    <w:between w:val="nil"/>
                  </w:pBdr>
                  <w:rPr>
                    <w:sz w:val="18"/>
                    <w:szCs w:val="18"/>
                  </w:rPr>
                </w:pPr>
              </w:p>
            </w:tc>
            <w:tc>
              <w:tcPr>
                <w:tcW w:w="1290" w:type="dxa"/>
                <w:shd w:val="clear" w:color="auto" w:fill="auto"/>
                <w:tcMar>
                  <w:top w:w="100" w:type="dxa"/>
                  <w:left w:w="100" w:type="dxa"/>
                  <w:bottom w:w="100" w:type="dxa"/>
                  <w:right w:w="100" w:type="dxa"/>
                </w:tcMar>
              </w:tcPr>
              <w:p w:rsidR="00743DA6" w:rsidRDefault="00D95D19">
                <w:pPr>
                  <w:rPr>
                    <w:sz w:val="18"/>
                    <w:szCs w:val="18"/>
                  </w:rPr>
                </w:pPr>
                <w:r>
                  <w:rPr>
                    <w:sz w:val="18"/>
                    <w:szCs w:val="18"/>
                  </w:rPr>
                  <w:t>-$140.000.000</w:t>
                </w:r>
              </w:p>
              <w:p w:rsidR="00743DA6" w:rsidRDefault="00743DA6">
                <w:pPr>
                  <w:pBdr>
                    <w:top w:val="nil"/>
                    <w:left w:val="nil"/>
                    <w:bottom w:val="nil"/>
                    <w:right w:val="nil"/>
                    <w:between w:val="nil"/>
                  </w:pBdr>
                  <w:rPr>
                    <w:sz w:val="18"/>
                    <w:szCs w:val="18"/>
                  </w:rPr>
                </w:pPr>
              </w:p>
            </w:tc>
          </w:tr>
          <w:tr w:rsidR="00743DA6">
            <w:tc>
              <w:tcPr>
                <w:tcW w:w="459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jc w:val="both"/>
                  <w:rPr>
                    <w:sz w:val="18"/>
                    <w:szCs w:val="18"/>
                  </w:rPr>
                </w:pPr>
                <w:r>
                  <w:rPr>
                    <w:sz w:val="18"/>
                    <w:szCs w:val="18"/>
                  </w:rPr>
                  <w:t>Realizar el 100 Porciento de atenciones en intervención de trabajo social a mujeres que realizan actividades sexuales pagadas.</w:t>
                </w:r>
              </w:p>
            </w:tc>
            <w:tc>
              <w:tcPr>
                <w:tcW w:w="1380" w:type="dxa"/>
                <w:shd w:val="clear" w:color="auto" w:fill="auto"/>
                <w:tcMar>
                  <w:top w:w="100" w:type="dxa"/>
                  <w:left w:w="100" w:type="dxa"/>
                  <w:bottom w:w="100" w:type="dxa"/>
                  <w:right w:w="100" w:type="dxa"/>
                </w:tcMar>
              </w:tcPr>
              <w:p w:rsidR="00743DA6" w:rsidRDefault="00D95D19">
                <w:pPr>
                  <w:rPr>
                    <w:sz w:val="18"/>
                    <w:szCs w:val="18"/>
                  </w:rPr>
                </w:pPr>
                <w:r>
                  <w:rPr>
                    <w:sz w:val="18"/>
                    <w:szCs w:val="18"/>
                  </w:rPr>
                  <w:t>$831.000.000</w:t>
                </w:r>
              </w:p>
              <w:p w:rsidR="00743DA6" w:rsidRDefault="00743DA6">
                <w:pPr>
                  <w:pBdr>
                    <w:top w:val="nil"/>
                    <w:left w:val="nil"/>
                    <w:bottom w:val="nil"/>
                    <w:right w:val="nil"/>
                    <w:between w:val="nil"/>
                  </w:pBdr>
                  <w:rPr>
                    <w:sz w:val="18"/>
                    <w:szCs w:val="18"/>
                  </w:rPr>
                </w:pPr>
              </w:p>
            </w:tc>
            <w:tc>
              <w:tcPr>
                <w:tcW w:w="1470" w:type="dxa"/>
                <w:shd w:val="clear" w:color="auto" w:fill="auto"/>
                <w:tcMar>
                  <w:top w:w="100" w:type="dxa"/>
                  <w:left w:w="100" w:type="dxa"/>
                  <w:bottom w:w="100" w:type="dxa"/>
                  <w:right w:w="100" w:type="dxa"/>
                </w:tcMar>
              </w:tcPr>
              <w:p w:rsidR="00743DA6" w:rsidRDefault="00D95D19">
                <w:pPr>
                  <w:rPr>
                    <w:sz w:val="18"/>
                    <w:szCs w:val="18"/>
                  </w:rPr>
                </w:pPr>
                <w:r>
                  <w:rPr>
                    <w:sz w:val="18"/>
                    <w:szCs w:val="18"/>
                  </w:rPr>
                  <w:t>$ 727.000.000</w:t>
                </w:r>
              </w:p>
              <w:p w:rsidR="00743DA6" w:rsidRDefault="00743DA6">
                <w:pPr>
                  <w:pBdr>
                    <w:top w:val="nil"/>
                    <w:left w:val="nil"/>
                    <w:bottom w:val="nil"/>
                    <w:right w:val="nil"/>
                    <w:between w:val="nil"/>
                  </w:pBdr>
                  <w:rPr>
                    <w:sz w:val="18"/>
                    <w:szCs w:val="18"/>
                  </w:rPr>
                </w:pPr>
              </w:p>
            </w:tc>
            <w:tc>
              <w:tcPr>
                <w:tcW w:w="1290" w:type="dxa"/>
                <w:shd w:val="clear" w:color="auto" w:fill="auto"/>
                <w:tcMar>
                  <w:top w:w="100" w:type="dxa"/>
                  <w:left w:w="100" w:type="dxa"/>
                  <w:bottom w:w="100" w:type="dxa"/>
                  <w:right w:w="100" w:type="dxa"/>
                </w:tcMar>
              </w:tcPr>
              <w:p w:rsidR="00743DA6" w:rsidRDefault="00D95D19">
                <w:pPr>
                  <w:rPr>
                    <w:sz w:val="18"/>
                    <w:szCs w:val="18"/>
                  </w:rPr>
                </w:pPr>
                <w:r>
                  <w:rPr>
                    <w:sz w:val="18"/>
                    <w:szCs w:val="18"/>
                  </w:rPr>
                  <w:t>-$104.000.000</w:t>
                </w:r>
              </w:p>
              <w:p w:rsidR="00743DA6" w:rsidRDefault="00CB348A">
                <w:pPr>
                  <w:pBdr>
                    <w:top w:val="nil"/>
                    <w:left w:val="nil"/>
                    <w:bottom w:val="nil"/>
                    <w:right w:val="nil"/>
                    <w:between w:val="nil"/>
                  </w:pBdr>
                  <w:rPr>
                    <w:sz w:val="18"/>
                    <w:szCs w:val="18"/>
                  </w:rPr>
                </w:pPr>
              </w:p>
            </w:tc>
          </w:tr>
        </w:tbl>
      </w:sdtContent>
    </w:sdt>
    <w:p w:rsidR="00743DA6" w:rsidRDefault="00D95D19">
      <w:pPr>
        <w:shd w:val="clear" w:color="auto" w:fill="FFFFFF"/>
        <w:jc w:val="center"/>
        <w:rPr>
          <w:sz w:val="18"/>
          <w:szCs w:val="18"/>
        </w:rPr>
      </w:pPr>
      <w:r>
        <w:rPr>
          <w:sz w:val="18"/>
          <w:szCs w:val="18"/>
        </w:rPr>
        <w:t>Fuente: Elaboración propia con base en la información suministrada por SDH (2025)</w:t>
      </w:r>
    </w:p>
    <w:p w:rsidR="00743DA6" w:rsidRDefault="00D95D19">
      <w:pPr>
        <w:shd w:val="clear" w:color="auto" w:fill="FFFFFF"/>
        <w:spacing w:before="240" w:after="240"/>
        <w:jc w:val="both"/>
        <w:rPr>
          <w:sz w:val="22"/>
          <w:szCs w:val="22"/>
        </w:rPr>
      </w:pPr>
      <w:r>
        <w:rPr>
          <w:sz w:val="22"/>
          <w:szCs w:val="22"/>
        </w:rPr>
        <w:t xml:space="preserve">Estas reducciones presupuestales traen a la mesa la preocupación en torno a la atención integral, reconociendo la desfinanciación primero en la atención socio jurídica y después en el acompañamiento de trabajo social, sabiendo que la atención psicológica no es suficiente y trayendo a colación el objetivo específico del proyecto que es “Mejorar la atención de mujeres que ejercen actividades sexuales pagadas (ASP) en Bogotá”. Es así como en términos de ejecución, a pesar de superar el 100% es necesario seguir con el cubrimiento de los servicios reconociendo que trae consigo la garantía de derechos y la prevención de violencias hacia las mujeres. </w:t>
      </w:r>
    </w:p>
    <w:p w:rsidR="00743DA6" w:rsidRDefault="00D95D19">
      <w:pPr>
        <w:shd w:val="clear" w:color="auto" w:fill="FFFFFF"/>
        <w:spacing w:before="240" w:after="240"/>
        <w:jc w:val="both"/>
        <w:rPr>
          <w:sz w:val="22"/>
          <w:szCs w:val="22"/>
        </w:rPr>
      </w:pPr>
      <w:r>
        <w:rPr>
          <w:sz w:val="22"/>
          <w:szCs w:val="22"/>
        </w:rPr>
        <w:t>De julio a diciembre de 2024 se realizaron 1.914 atenciones jurídicas desagregadas así: 373 asesorías y 88 valoraciones iniciales, 1.051 seguimientos, y 402 cierres, desde la Estrategia Casa de Todas. Además se realizaron 1.742 atenciones de trabajo social, desagregadas así: 598 intervenciones en trabajo social y 184 valoraciones iniciales, 654 seguimientos, 306 cierres, desde la Estrategia Casa de Todas, de manera presencial en la sede física, móvil, telefónica y virtual, esta atención es fundamental ya que busca identificar, a través de una valoración inicial, las necesidades en salud, educación, vivienda, derechos sexuales y reproductivos, procesos de educación, formación para el trabajo, capacidades y realidades en diferentes contextos de las mujeres que realizan actividades sexuales pagadas, a partir de lo cual se elabora un mapa de problemas y redes de soporte personal e institucional, insumos necesarios para fortalecer la atención. De facto se pone en duda la posibilidad de asumir el reto de fortalecer la estrategia Casa de Todas para avanzar en su apropiación como un servicio único en el país</w:t>
      </w:r>
    </w:p>
    <w:p w:rsidR="00743DA6" w:rsidRDefault="00D95D19">
      <w:pPr>
        <w:shd w:val="clear" w:color="auto" w:fill="FFFFFF"/>
        <w:spacing w:before="240" w:after="240"/>
        <w:jc w:val="both"/>
        <w:rPr>
          <w:b/>
          <w:bCs/>
          <w:sz w:val="22"/>
          <w:szCs w:val="22"/>
        </w:rPr>
      </w:pPr>
      <w:r>
        <w:rPr>
          <w:b/>
          <w:bCs/>
          <w:sz w:val="22"/>
          <w:szCs w:val="22"/>
        </w:rPr>
        <w:t xml:space="preserve">Petición de incremento de presupuesto </w:t>
      </w:r>
    </w:p>
    <w:p w:rsidR="00743DA6" w:rsidRDefault="00D95D19">
      <w:pPr>
        <w:shd w:val="clear" w:color="auto" w:fill="FFFFFF"/>
        <w:spacing w:before="240" w:after="240"/>
        <w:jc w:val="both"/>
        <w:rPr>
          <w:sz w:val="22"/>
          <w:szCs w:val="22"/>
        </w:rPr>
      </w:pPr>
      <w:r>
        <w:rPr>
          <w:sz w:val="22"/>
          <w:szCs w:val="22"/>
        </w:rPr>
        <w:t>Por lo anterior, y con el fin de garantizar la sostenibilidad y continuidad de los servicios territoriales, se solicita de manera respetuosa el incremento del presupuesto asignado al proyecto de inversión:</w:t>
      </w:r>
    </w:p>
    <w:p w:rsidR="00743DA6" w:rsidRDefault="00D95D19">
      <w:pPr>
        <w:numPr>
          <w:ilvl w:val="0"/>
          <w:numId w:val="22"/>
        </w:numPr>
        <w:shd w:val="clear" w:color="auto" w:fill="FFFFFF"/>
        <w:spacing w:before="280"/>
        <w:jc w:val="both"/>
        <w:rPr>
          <w:sz w:val="22"/>
          <w:szCs w:val="22"/>
        </w:rPr>
      </w:pPr>
      <w:r>
        <w:rPr>
          <w:sz w:val="22"/>
          <w:szCs w:val="22"/>
        </w:rPr>
        <w:t>Implementación de estrategias de participación, territorialización y transversalización de la Política Pública de Mujeres y Equidad de Género a nivel local en Bogotá,el monto solicitado es de $2.500 millones. Estos recursos son indispensables para garantizar que las Casas de Igualdad de Oportunidades continúen cumpliendo su papel estratégico en la promoción de los derechos de las mujeres, el fortalecimiento comunitario y la prevención de las violencias de género en el territorio.</w:t>
      </w:r>
    </w:p>
    <w:p w:rsidR="00743DA6" w:rsidRDefault="00D95D19">
      <w:pPr>
        <w:numPr>
          <w:ilvl w:val="0"/>
          <w:numId w:val="22"/>
        </w:numPr>
        <w:shd w:val="clear" w:color="auto" w:fill="FFFFFF"/>
        <w:jc w:val="both"/>
        <w:rPr>
          <w:sz w:val="22"/>
          <w:szCs w:val="22"/>
        </w:rPr>
      </w:pPr>
      <w:r>
        <w:rPr>
          <w:color w:val="000000"/>
          <w:sz w:val="22"/>
          <w:szCs w:val="22"/>
        </w:rPr>
        <w:t>Fortalecimiento a la implementación, seguimiento y coordinación del Sistema Distrital de Cuidado en Bogotá D.C.</w:t>
      </w:r>
      <w:r>
        <w:rPr>
          <w:sz w:val="22"/>
          <w:szCs w:val="22"/>
        </w:rPr>
        <w:t xml:space="preserve"> Monto solicitado: $2.500 millones. El Sistema Distrital de Cuidado es una de las políticas transformadoras más relevantes para la redistribución del trabajo de cuidado y la garantía de los derechos de las cuidadoras de la ciudad. La reducción presupuestal limita el seguimiento, la articulación interinstitucional y la capacidad de expansión territorial que el Sistema requiere para consolidarse como una política pública estructural. El fortalecimiento solicitado permitirá sostener los mecanismos de coordinación, mejorar la capacidad técnica y garantizar la implementación de estrategias orientadas a la igualdad de género, la autonomía económica y el bienestar de las cuidadoras.</w:t>
      </w:r>
    </w:p>
    <w:p w:rsidR="00743DA6" w:rsidRDefault="00D95D19">
      <w:pPr>
        <w:pStyle w:val="Ttulo3"/>
        <w:keepNext w:val="0"/>
        <w:keepLines w:val="0"/>
        <w:numPr>
          <w:ilvl w:val="0"/>
          <w:numId w:val="22"/>
        </w:numPr>
        <w:shd w:val="clear" w:color="auto" w:fill="FFFFFF"/>
        <w:spacing w:before="0" w:after="80"/>
        <w:jc w:val="both"/>
        <w:rPr>
          <w:color w:val="000000"/>
          <w:sz w:val="22"/>
          <w:szCs w:val="22"/>
        </w:rPr>
      </w:pPr>
      <w:bookmarkStart w:id="27" w:name="_heading=h.6q2gomqq2sh0" w:colFirst="0" w:colLast="0"/>
      <w:bookmarkEnd w:id="27"/>
      <w:r>
        <w:rPr>
          <w:rFonts w:ascii="Arial" w:eastAsia="Arial" w:hAnsi="Arial" w:cs="Arial"/>
          <w:color w:val="000000"/>
          <w:sz w:val="22"/>
          <w:szCs w:val="22"/>
        </w:rPr>
        <w:t>Ampliación de los servicios con enfoque diferencial para la atención a mujeres que ejercen Actividades Sexuales Pagadas (ASP) en Bogotá D.C. Monto solicitado: $400 millones. La reducción presupuestal también afecta la capacidad institucional para garantizar la atención integral y diferenciada a las mujeres que ejercen Actividades Sexuales Pagadas (ASP), una población que enfrenta múltiples formas de vulneración, estigmatización y riesgos asociados a violencias, explotación y barreras en el acceso a la oferta institucional.</w:t>
      </w:r>
    </w:p>
    <w:p w:rsidR="00743DA6" w:rsidRDefault="00743DA6">
      <w:pPr>
        <w:ind w:left="720"/>
      </w:pPr>
    </w:p>
    <w:p w:rsidR="00743DA6" w:rsidRDefault="00743DA6">
      <w:pPr>
        <w:ind w:left="720"/>
      </w:pPr>
    </w:p>
    <w:p w:rsidR="00743DA6" w:rsidRDefault="00743DA6">
      <w:pPr>
        <w:ind w:left="720"/>
      </w:pPr>
    </w:p>
    <w:p w:rsidR="00743DA6" w:rsidRDefault="00D95D19">
      <w:pPr>
        <w:pBdr>
          <w:top w:val="nil"/>
          <w:left w:val="nil"/>
          <w:bottom w:val="nil"/>
          <w:right w:val="nil"/>
          <w:between w:val="nil"/>
        </w:pBdr>
        <w:spacing w:line="259" w:lineRule="auto"/>
        <w:rPr>
          <w:b/>
          <w:bCs/>
          <w:color w:val="000000"/>
          <w:sz w:val="22"/>
          <w:szCs w:val="22"/>
        </w:rPr>
      </w:pPr>
      <w:r>
        <w:rPr>
          <w:b/>
          <w:bCs/>
          <w:color w:val="000000"/>
          <w:sz w:val="22"/>
          <w:szCs w:val="22"/>
        </w:rPr>
        <w:t>Secretaría Distrital de Movilidad</w:t>
      </w:r>
    </w:p>
    <w:p w:rsidR="00743DA6" w:rsidRDefault="00743DA6">
      <w:pPr>
        <w:jc w:val="both"/>
        <w:rPr>
          <w:b/>
          <w:bCs/>
          <w:sz w:val="22"/>
          <w:szCs w:val="22"/>
          <w:highlight w:val="white"/>
        </w:rPr>
      </w:pPr>
    </w:p>
    <w:p w:rsidR="00743DA6" w:rsidRDefault="00D95D19">
      <w:pPr>
        <w:jc w:val="both"/>
        <w:rPr>
          <w:b/>
          <w:bCs/>
          <w:sz w:val="22"/>
          <w:szCs w:val="22"/>
          <w:highlight w:val="white"/>
        </w:rPr>
      </w:pPr>
      <w:r>
        <w:rPr>
          <w:b/>
          <w:bCs/>
          <w:sz w:val="22"/>
          <w:szCs w:val="22"/>
          <w:highlight w:val="white"/>
        </w:rPr>
        <w:t>Histórico de Presupuesto</w:t>
      </w:r>
    </w:p>
    <w:p w:rsidR="00743DA6" w:rsidRDefault="00743DA6">
      <w:pPr>
        <w:jc w:val="both"/>
        <w:rPr>
          <w:b/>
          <w:bCs/>
          <w:sz w:val="22"/>
          <w:szCs w:val="22"/>
          <w:highlight w:val="white"/>
        </w:rPr>
      </w:pPr>
    </w:p>
    <w:p w:rsidR="00743DA6" w:rsidRDefault="00743DA6">
      <w:pPr>
        <w:jc w:val="both"/>
        <w:rPr>
          <w:b/>
          <w:bCs/>
          <w:sz w:val="22"/>
          <w:szCs w:val="22"/>
          <w:highlight w:val="white"/>
        </w:rPr>
      </w:pPr>
    </w:p>
    <w:p w:rsidR="00743DA6" w:rsidRDefault="00D95D19">
      <w:pPr>
        <w:spacing w:after="160" w:line="259" w:lineRule="auto"/>
        <w:jc w:val="center"/>
        <w:rPr>
          <w:b/>
          <w:bCs/>
          <w:sz w:val="22"/>
          <w:szCs w:val="22"/>
          <w:highlight w:val="white"/>
        </w:rPr>
      </w:pPr>
      <w:r>
        <w:rPr>
          <w:b/>
          <w:bCs/>
          <w:sz w:val="22"/>
          <w:szCs w:val="22"/>
        </w:rPr>
        <w:t>Gráfica comportamiento presupuestal 2022 - 2026</w:t>
      </w:r>
    </w:p>
    <w:p w:rsidR="00743DA6" w:rsidRDefault="00D95D19">
      <w:pPr>
        <w:spacing w:before="240" w:after="240" w:line="276" w:lineRule="auto"/>
        <w:jc w:val="center"/>
        <w:rPr>
          <w:sz w:val="22"/>
          <w:szCs w:val="22"/>
        </w:rPr>
      </w:pPr>
      <w:r>
        <w:rPr>
          <w:noProof/>
          <w:sz w:val="22"/>
          <w:szCs w:val="22"/>
          <w:lang w:val="es-CO"/>
        </w:rPr>
        <w:drawing>
          <wp:inline distT="114300" distB="114300" distL="114300" distR="114300">
            <wp:extent cx="5612130" cy="3276600"/>
            <wp:effectExtent l="0" t="0" r="0" b="0"/>
            <wp:docPr id="212739957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7"/>
                    <a:srcRect/>
                    <a:stretch>
                      <a:fillRect/>
                    </a:stretch>
                  </pic:blipFill>
                  <pic:spPr>
                    <a:xfrm>
                      <a:off x="0" y="0"/>
                      <a:ext cx="5612130" cy="3276600"/>
                    </a:xfrm>
                    <a:prstGeom prst="rect">
                      <a:avLst/>
                    </a:prstGeom>
                    <a:ln/>
                  </pic:spPr>
                </pic:pic>
              </a:graphicData>
            </a:graphic>
          </wp:inline>
        </w:drawing>
      </w:r>
      <w:r>
        <w:rPr>
          <w:sz w:val="18"/>
          <w:szCs w:val="18"/>
        </w:rPr>
        <w:t>Fuente: Elaboración propia (2025) con base en la información suministrada de la SDH: Comparativo presupuesto anual por entidades 2022-2026</w:t>
      </w:r>
    </w:p>
    <w:p w:rsidR="00743DA6" w:rsidRDefault="00D95D19">
      <w:pPr>
        <w:spacing w:before="240" w:after="240" w:line="276" w:lineRule="auto"/>
        <w:jc w:val="both"/>
        <w:rPr>
          <w:sz w:val="22"/>
          <w:szCs w:val="22"/>
        </w:rPr>
      </w:pPr>
      <w:r>
        <w:rPr>
          <w:sz w:val="22"/>
          <w:szCs w:val="22"/>
        </w:rPr>
        <w:t xml:space="preserve">En la gráfica podemos observar como el presupuesto </w:t>
      </w:r>
      <w:r>
        <w:rPr>
          <w:b/>
          <w:bCs/>
          <w:sz w:val="22"/>
          <w:szCs w:val="22"/>
        </w:rPr>
        <w:t xml:space="preserve">Programado </w:t>
      </w:r>
      <w:r>
        <w:rPr>
          <w:sz w:val="22"/>
          <w:szCs w:val="22"/>
        </w:rPr>
        <w:t>(línea azul) de la SDM muestra una trayectoria de crecimiento discreto y estable, pasando de un monto de $0.4 billones en 2022 a una proyección de $0.6 billones en 2026. Esta estabilidad indica que la SDM no está diseñada como una entidad de grandes inversiones con picos presupuestales, sino como un órgano administrativo y regulatorio con un gasto fijo creciente, naturalmente, pues el dinero de obras se refleja en empresas como Metro y Transmilenio o en entidades como IDU y UAERMV, como veremos más adelante.</w:t>
      </w:r>
    </w:p>
    <w:p w:rsidR="00743DA6" w:rsidRDefault="00D95D19">
      <w:pPr>
        <w:spacing w:before="240" w:after="240" w:line="276" w:lineRule="auto"/>
        <w:jc w:val="both"/>
        <w:rPr>
          <w:sz w:val="22"/>
          <w:szCs w:val="22"/>
        </w:rPr>
      </w:pPr>
      <w:r>
        <w:rPr>
          <w:sz w:val="22"/>
          <w:szCs w:val="22"/>
        </w:rPr>
        <w:t>Sin embargo, esta estabilidad programada contrasta con la crisis de ejecución reflejada en las otras dos líneas:</w:t>
      </w:r>
    </w:p>
    <w:p w:rsidR="00743DA6" w:rsidRDefault="00D95D19">
      <w:pPr>
        <w:numPr>
          <w:ilvl w:val="0"/>
          <w:numId w:val="55"/>
        </w:numPr>
        <w:spacing w:before="240" w:line="276" w:lineRule="auto"/>
        <w:jc w:val="both"/>
        <w:rPr>
          <w:sz w:val="22"/>
          <w:szCs w:val="22"/>
        </w:rPr>
      </w:pPr>
      <w:r>
        <w:rPr>
          <w:sz w:val="22"/>
          <w:szCs w:val="22"/>
        </w:rPr>
        <w:t>Falla en la Materialización (Línea Roja - Girado): La línea de Girado (pagos) es, consistentemente, la más baja del gráfico, culminando en una ejecución de pagos de solo el 32.5% sobre lo programado en 2025. Esta brecha de más de $400 mil millones entre lo que se planeó gastar y lo que realmente se pagó demuestra una incapacidad crítica para liquidar y pagar los servicios contratados, lo que se traduce en retrasos masivos en la operación diaria de la movilidad (señalización, tecnología, control).</w:t>
      </w:r>
    </w:p>
    <w:p w:rsidR="00743DA6" w:rsidRDefault="00D95D19">
      <w:pPr>
        <w:numPr>
          <w:ilvl w:val="0"/>
          <w:numId w:val="55"/>
        </w:numPr>
        <w:spacing w:after="240" w:line="276" w:lineRule="auto"/>
        <w:jc w:val="both"/>
        <w:rPr>
          <w:sz w:val="22"/>
          <w:szCs w:val="22"/>
        </w:rPr>
      </w:pPr>
      <w:r>
        <w:rPr>
          <w:sz w:val="22"/>
          <w:szCs w:val="22"/>
        </w:rPr>
        <w:t>El Problema del Rezago (Brecha entre Naranja y Roja): La distancia persistente entre la línea Comprometido (naranja, que representa los contratos firmados) y la línea Girado (roja, pagos) es el indicador más claro de la parálisis administrativa:</w:t>
      </w:r>
    </w:p>
    <w:p w:rsidR="00743DA6" w:rsidRDefault="00D95D19">
      <w:pPr>
        <w:numPr>
          <w:ilvl w:val="0"/>
          <w:numId w:val="3"/>
        </w:numPr>
        <w:spacing w:before="240" w:line="276" w:lineRule="auto"/>
        <w:jc w:val="both"/>
        <w:rPr>
          <w:sz w:val="22"/>
          <w:szCs w:val="22"/>
        </w:rPr>
      </w:pPr>
      <w:r>
        <w:rPr>
          <w:sz w:val="22"/>
          <w:szCs w:val="22"/>
        </w:rPr>
        <w:t>La SDM logra contratar (línea naranja) una porción significativa de su presupuesto (70% en 2025).</w:t>
      </w:r>
    </w:p>
    <w:p w:rsidR="00743DA6" w:rsidRDefault="00D95D19">
      <w:pPr>
        <w:numPr>
          <w:ilvl w:val="0"/>
          <w:numId w:val="3"/>
        </w:numPr>
        <w:spacing w:line="276" w:lineRule="auto"/>
        <w:jc w:val="both"/>
        <w:rPr>
          <w:sz w:val="22"/>
          <w:szCs w:val="22"/>
        </w:rPr>
      </w:pPr>
      <w:r>
        <w:rPr>
          <w:sz w:val="22"/>
          <w:szCs w:val="22"/>
        </w:rPr>
        <w:t>Pero falla drásticamente en ejecutar el objeto del contrato y certificar el pago (línea roja).</w:t>
      </w:r>
    </w:p>
    <w:p w:rsidR="00743DA6" w:rsidRDefault="00D95D19">
      <w:pPr>
        <w:numPr>
          <w:ilvl w:val="0"/>
          <w:numId w:val="3"/>
        </w:numPr>
        <w:spacing w:after="240" w:line="276" w:lineRule="auto"/>
        <w:jc w:val="both"/>
        <w:rPr>
          <w:sz w:val="22"/>
          <w:szCs w:val="22"/>
        </w:rPr>
      </w:pPr>
      <w:r>
        <w:rPr>
          <w:sz w:val="22"/>
          <w:szCs w:val="22"/>
        </w:rPr>
        <w:t>Esto significa que la Secretaría no solo perdió la capacidad de iniciar nuevos contratos, sino que arrastra un volumen masivo de obras y servicios sin pagar de vigencias anteriores, un rezago presupuestal que tensa gravemente la flexibilidad financiera y la capacidad de gestión de 2026.</w:t>
      </w:r>
    </w:p>
    <w:p w:rsidR="00743DA6" w:rsidRDefault="00D95D19">
      <w:pPr>
        <w:spacing w:before="240" w:after="240" w:line="276" w:lineRule="auto"/>
        <w:rPr>
          <w:b/>
          <w:bCs/>
          <w:sz w:val="22"/>
          <w:szCs w:val="22"/>
        </w:rPr>
      </w:pPr>
      <w:r>
        <w:rPr>
          <w:b/>
          <w:bCs/>
          <w:sz w:val="22"/>
          <w:szCs w:val="22"/>
        </w:rPr>
        <w:t>Hallazgos y Alertas</w:t>
      </w:r>
    </w:p>
    <w:p w:rsidR="00743DA6" w:rsidRDefault="00D95D19">
      <w:pPr>
        <w:spacing w:before="240" w:after="240" w:line="276" w:lineRule="auto"/>
        <w:rPr>
          <w:sz w:val="22"/>
          <w:szCs w:val="22"/>
        </w:rPr>
      </w:pPr>
      <w:r>
        <w:rPr>
          <w:sz w:val="22"/>
          <w:szCs w:val="22"/>
        </w:rPr>
        <w:t>Presupuesto Programado 2025: $627,935.55</w:t>
      </w:r>
    </w:p>
    <w:p w:rsidR="00743DA6" w:rsidRDefault="00D95D19">
      <w:pPr>
        <w:spacing w:before="240" w:after="240" w:line="276" w:lineRule="auto"/>
        <w:rPr>
          <w:sz w:val="22"/>
          <w:szCs w:val="22"/>
        </w:rPr>
      </w:pPr>
      <w:r>
        <w:rPr>
          <w:sz w:val="22"/>
          <w:szCs w:val="22"/>
        </w:rPr>
        <w:t>Presupuesto Comprometido 2025: $439,202.64</w:t>
      </w:r>
    </w:p>
    <w:p w:rsidR="00743DA6" w:rsidRDefault="00D95D19">
      <w:pPr>
        <w:spacing w:before="240" w:after="240" w:line="276" w:lineRule="auto"/>
        <w:rPr>
          <w:sz w:val="22"/>
          <w:szCs w:val="22"/>
        </w:rPr>
      </w:pPr>
      <w:r>
        <w:rPr>
          <w:sz w:val="22"/>
          <w:szCs w:val="22"/>
        </w:rPr>
        <w:t>Presupuesto Girado (Pagado) 2025: $203,831.46</w:t>
      </w:r>
    </w:p>
    <w:p w:rsidR="00743DA6" w:rsidRDefault="00D95D19">
      <w:pPr>
        <w:spacing w:before="240" w:after="240" w:line="276" w:lineRule="auto"/>
        <w:rPr>
          <w:sz w:val="22"/>
          <w:szCs w:val="22"/>
        </w:rPr>
      </w:pPr>
      <w:r>
        <w:rPr>
          <w:sz w:val="22"/>
          <w:szCs w:val="22"/>
        </w:rPr>
        <w:t>Presupuesto Programado 2026: $633,015.78</w:t>
      </w:r>
    </w:p>
    <w:p w:rsidR="00743DA6" w:rsidRDefault="00D95D19">
      <w:pPr>
        <w:spacing w:before="240" w:after="240" w:line="276" w:lineRule="auto"/>
        <w:rPr>
          <w:sz w:val="22"/>
          <w:szCs w:val="22"/>
        </w:rPr>
      </w:pPr>
      <w:r>
        <w:rPr>
          <w:sz w:val="22"/>
          <w:szCs w:val="22"/>
        </w:rPr>
        <w:t>Diferencia Total (2026 vs 2025): + $5,080.23</w:t>
      </w:r>
    </w:p>
    <w:p w:rsidR="00743DA6" w:rsidRDefault="00D95D19">
      <w:pPr>
        <w:spacing w:before="240" w:after="240" w:line="276" w:lineRule="auto"/>
        <w:rPr>
          <w:sz w:val="22"/>
          <w:szCs w:val="22"/>
        </w:rPr>
      </w:pPr>
      <w:r>
        <w:rPr>
          <w:sz w:val="22"/>
          <w:szCs w:val="22"/>
        </w:rPr>
        <w:t>Diferencia Porcentual: +0.81%</w:t>
      </w:r>
    </w:p>
    <w:p w:rsidR="00743DA6" w:rsidRDefault="00D95D19">
      <w:pPr>
        <w:spacing w:before="240" w:after="240" w:line="276" w:lineRule="auto"/>
        <w:rPr>
          <w:b/>
          <w:bCs/>
          <w:sz w:val="22"/>
          <w:szCs w:val="22"/>
        </w:rPr>
      </w:pPr>
      <w:r>
        <w:rPr>
          <w:b/>
          <w:bCs/>
          <w:sz w:val="22"/>
          <w:szCs w:val="22"/>
        </w:rPr>
        <w:t>Tabla No. 58. Recortes presupuestales 2026</w:t>
      </w:r>
    </w:p>
    <w:sdt>
      <w:sdtPr>
        <w:rPr>
          <w:rFonts w:ascii="Arial" w:eastAsia="Arial" w:hAnsi="Arial" w:cs="Arial"/>
          <w:sz w:val="24"/>
          <w:szCs w:val="24"/>
          <w:lang w:val="es" w:eastAsia="es-CO"/>
        </w:rPr>
        <w:tag w:val="goog_rdk_903"/>
        <w:id w:val="-1181322231"/>
        <w:lock w:val="contentLocked"/>
      </w:sdtPr>
      <w:sdtEndPr/>
      <w:sdtContent>
        <w:tbl>
          <w:tblPr>
            <w:tblStyle w:val="affffffff4"/>
            <w:tblW w:w="9000" w:type="dxa"/>
            <w:tblBorders>
              <w:top w:val="nil"/>
              <w:left w:val="nil"/>
              <w:bottom w:val="nil"/>
              <w:right w:val="nil"/>
              <w:insideH w:val="nil"/>
              <w:insideV w:val="nil"/>
            </w:tblBorders>
            <w:tblLayout w:type="fixed"/>
            <w:tblLook w:val="0600" w:firstRow="0" w:lastRow="0" w:firstColumn="0" w:lastColumn="0" w:noHBand="1" w:noVBand="1"/>
          </w:tblPr>
          <w:tblGrid>
            <w:gridCol w:w="4215"/>
            <w:gridCol w:w="945"/>
            <w:gridCol w:w="1065"/>
            <w:gridCol w:w="915"/>
            <w:gridCol w:w="810"/>
            <w:gridCol w:w="1050"/>
          </w:tblGrid>
          <w:tr w:rsidR="00743DA6">
            <w:trPr>
              <w:trHeight w:val="463"/>
            </w:trPr>
            <w:tc>
              <w:tcPr>
                <w:tcW w:w="9000" w:type="dxa"/>
                <w:gridSpan w:val="6"/>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jc w:val="center"/>
                  <w:rPr>
                    <w:rFonts w:ascii="Arial" w:eastAsia="Arial" w:hAnsi="Arial" w:cs="Arial"/>
                    <w:b/>
                    <w:bCs/>
                    <w:sz w:val="18"/>
                    <w:szCs w:val="18"/>
                  </w:rPr>
                </w:pPr>
                <w:r>
                  <w:rPr>
                    <w:rFonts w:ascii="Arial" w:eastAsia="Arial" w:hAnsi="Arial" w:cs="Arial"/>
                    <w:b/>
                    <w:bCs/>
                    <w:sz w:val="18"/>
                    <w:szCs w:val="18"/>
                  </w:rPr>
                  <w:t xml:space="preserve">    </w:t>
                </w:r>
                <w:r>
                  <w:rPr>
                    <w:rFonts w:ascii="Arial" w:eastAsia="Arial" w:hAnsi="Arial" w:cs="Arial"/>
                    <w:b/>
                    <w:bCs/>
                  </w:rPr>
                  <w:t>Actividades que presentan recortes presupuestales para 2026 en el IDU</w:t>
                </w:r>
              </w:p>
            </w:tc>
          </w:tr>
          <w:tr w:rsidR="00743DA6">
            <w:trPr>
              <w:trHeight w:val="463"/>
            </w:trPr>
            <w:tc>
              <w:tcPr>
                <w:tcW w:w="4215" w:type="dxa"/>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ACTIVIDAD</w:t>
                </w:r>
              </w:p>
            </w:tc>
            <w:tc>
              <w:tcPr>
                <w:tcW w:w="94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2025</w:t>
                </w:r>
              </w:p>
            </w:tc>
            <w:tc>
              <w:tcPr>
                <w:tcW w:w="106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CONTRATADO 2025</w:t>
                </w:r>
              </w:p>
            </w:tc>
            <w:tc>
              <w:tcPr>
                <w:tcW w:w="91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GIRADO 2025</w:t>
                </w:r>
              </w:p>
            </w:tc>
            <w:tc>
              <w:tcPr>
                <w:tcW w:w="81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2026</w:t>
                </w:r>
              </w:p>
            </w:tc>
            <w:tc>
              <w:tcPr>
                <w:tcW w:w="105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DIFERENCIA 2025 - 2026</w:t>
                </w:r>
              </w:p>
            </w:tc>
          </w:tr>
          <w:tr w:rsidR="00743DA6">
            <w:trPr>
              <w:trHeight w:val="1537"/>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Realizar 5475000 Viaje(s) acompañados y monitoreados con el proyecto Al Colegio en Bici y la estrategia BiciParceros durante el cuatrienio</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$ 20,848</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$ 14,021</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$ 8,934</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$ 17,681</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-$ 3,166</w:t>
                </w:r>
              </w:p>
            </w:tc>
          </w:tr>
          <w:tr w:rsidR="00743DA6">
            <w:trPr>
              <w:trHeight w:val="121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5 - Mantener por encima del 99 Porciento la disponibilidad del sistema de semaforización</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$ 65,668</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$ 61,966</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$ 21,890</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$ 57,480</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-$ 8,188</w:t>
                </w:r>
              </w:p>
            </w:tc>
          </w:tr>
          <w:tr w:rsidR="00743DA6">
            <w:trPr>
              <w:trHeight w:val="97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6 - Complementar 361 Intersección(es) semaforizadas con otros dispositivos de señalización semafórica</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$ 13,955</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$ 8,418</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$ 6,403</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$ 5,346</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-$ 8,609</w:t>
                </w:r>
              </w:p>
            </w:tc>
          </w:tr>
          <w:tr w:rsidR="00743DA6">
            <w:trPr>
              <w:trHeight w:val="111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9 - Desarrollar 160 Dispositivo(s) para la actualización y ampliación tecnológica requerida (ampliación del Sistema de Detección Electrónica de Infracciones)</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$ 18,804</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$ 785</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$ 316</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$ 1,991</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-$ 16,813</w:t>
                </w:r>
              </w:p>
            </w:tc>
          </w:tr>
          <w:tr w:rsidR="00743DA6">
            <w:trPr>
              <w:trHeight w:val="147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Diseñar, ejecutar y evaluar 4 Estrategia(s) de cultura para la movilidad</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$ 5,639</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$ 4,278</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$ 2,694</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$ 3,349</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-$ 2,290</w:t>
                </w:r>
              </w:p>
            </w:tc>
          </w:tr>
          <w:tr w:rsidR="00743DA6">
            <w:trPr>
              <w:trHeight w:val="892"/>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Desarrollar 96 Medida(s) de gestión enfocadas en mejorar las condiciones de movilidad y/o seguridad vial en un 15% en los indicadores planteados</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$ 48,031</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$ 21,096</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$ 3,252</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$ 32,284</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-$ 15,747</w:t>
                </w:r>
              </w:p>
            </w:tc>
          </w:tr>
          <w:tr w:rsidR="00743DA6">
            <w:trPr>
              <w:trHeight w:val="84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Desarrollar 141 Instancia(s) de armonización para la ejecución de intervenciones de movilidad y seguridad vial.</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$ 9,359</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$ 2,014</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$ 1,006</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$ 3,135</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-$ 6,224</w:t>
                </w:r>
              </w:p>
            </w:tc>
          </w:tr>
          <w:tr w:rsidR="00743DA6">
            <w:trPr>
              <w:trHeight w:val="82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Gestionar el 100 % acciones de asistencia técnica en materia de seguridad vial requerida para la articulación interinstitucional.</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$ 7,528</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$ 4,215</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$ 2,944</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$ 5,307</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-$ 2,221</w:t>
                </w:r>
              </w:p>
            </w:tc>
          </w:tr>
          <w:tr w:rsidR="00743DA6">
            <w:trPr>
              <w:trHeight w:val="123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Realizar 4600 Intervención(es) de prevención vial dirigida a los diferentes actores viales en la ciudad</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$ 18,312</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$ 11,148</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$ 3,128</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$ 16,969</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-$ 1,343</w:t>
                </w:r>
              </w:p>
            </w:tc>
          </w:tr>
          <w:tr w:rsidR="00743DA6">
            <w:trPr>
              <w:trHeight w:val="94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Adelantar el 100 % de las actividades para el desarrollo de un estudio técnico para la definición de limites de velocidad en corredores de la malla vial arterial.</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$ 311</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$ 311</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$ 176</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$ 191</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-$ 121</w:t>
                </w:r>
              </w:p>
            </w:tc>
          </w:tr>
          <w:tr w:rsidR="00743DA6">
            <w:trPr>
              <w:trHeight w:val="64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Realizar 60 Kilómetro(s) de mantenimiento de señalización y/o demarcación en cicloinfraestructura en la ciudad</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$ 1,840</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$ 1,788</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$ 932</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$ 1,575</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-$ 265</w:t>
                </w:r>
              </w:p>
            </w:tc>
          </w:tr>
          <w:tr w:rsidR="00743DA6">
            <w:trPr>
              <w:trHeight w:val="106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7 - Implementar el 100 % de las acciones para promover la renovación tecnológica de transporte de carga hacia una tecnología de cero y bajas emisiones</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$ 3,323</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$ 228</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$ 114</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$ 485</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-$ 2,838</w:t>
                </w:r>
              </w:p>
            </w:tc>
          </w:tr>
          <w:tr w:rsidR="00743DA6">
            <w:trPr>
              <w:trHeight w:val="84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Impulsar en 100 % las acciones para gestionar el uso eficiente del vehículo particular en la ciudad</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$ 2,464</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$ 2,423</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$ 1,074</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$ 1,780</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-$ 684</w:t>
                </w:r>
              </w:p>
            </w:tc>
          </w:tr>
          <w:tr w:rsidR="00743DA6">
            <w:trPr>
              <w:trHeight w:val="96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6 - Adelantar el 100 % de las actividades relacionadas con el transporte de carga y logística para optimizar sus operaciones y movilidad en la ciudad y la Región</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$ 207</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$ 166</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$ 76</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$ 200</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-$ 7</w:t>
                </w:r>
              </w:p>
            </w:tc>
          </w:tr>
          <w:tr w:rsidR="00743DA6">
            <w:trPr>
              <w:trHeight w:val="87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8 - Desarrollar el 100 % de las acciones dirigidas a la consolidación de la movilidad motorizada de cero y bajas emisiones como una alternativa eficiente, sostenible, accesible y competitiva en Bogotá</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$ 967</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$ 887</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$ 436</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$ 347</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-$ 621</w:t>
                </w:r>
              </w:p>
            </w:tc>
          </w:tr>
          <w:tr w:rsidR="00743DA6">
            <w:trPr>
              <w:trHeight w:val="79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Contar con 1 Plan(es) de Tecnologías de la Información actualizado para dar continuidad a la transformación digital de la Entidad</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$ 2,283</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$ 450</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$ 222</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$ 719</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-$ 1,564</w:t>
                </w:r>
              </w:p>
            </w:tc>
          </w:tr>
          <w:tr w:rsidR="00743DA6">
            <w:trPr>
              <w:trHeight w:val="93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Implementar el 100 Porciento de los planes, programas y proyectos necesarios para apoyar la gestión de la Secretaría Distrital de Movilidad de Bogotá D.C</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$ 10,123</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$ 9,782</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$ 5,108</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$ 9,946</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-$ 178</w:t>
                </w:r>
              </w:p>
            </w:tc>
          </w:tr>
          <w:tr w:rsidR="00743DA6">
            <w:trPr>
              <w:trHeight w:val="94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Ejecutar el 100 Porciento de las acciones delineadas en la estrategia anual para la sostenibilidad y mejora del Sistema de Seguridad y Salud en el Trabajo, asegurando la ejecución de todas las actividades planteadas</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$ 63</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$ 63</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$ 61</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-$ 2</w:t>
                </w:r>
              </w:p>
            </w:tc>
          </w:tr>
          <w:tr w:rsidR="00743DA6">
            <w:trPr>
              <w:trHeight w:val="105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6 - Implementar el 100 Porciento de la estrategia anual para la sostenibilidad y mejora del Sistema de Gestión Documental y Archivo, garantizando resultados sostenibles a largo plazo</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$ 7,095</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$ 2,365</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$ 1,731</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$ 6,505</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-$ 590</w:t>
                </w:r>
              </w:p>
            </w:tc>
          </w:tr>
          <w:tr w:rsidR="00743DA6">
            <w:trPr>
              <w:trHeight w:val="85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7 - Llevar a cabo el 100 Porciento de las actividades desarrolladas en el Plan de bienestar social y mejoramiento del Clima institucional asegurando la realización de cada actividad planteada.</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$ 1,780</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$ 1,558</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$ 368</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$ 1,165</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-$ 615</w:t>
                </w:r>
              </w:p>
            </w:tc>
          </w:tr>
          <w:tr w:rsidR="00743DA6">
            <w:trPr>
              <w:trHeight w:val="57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Atender el 100 % de las actuaciones debidamente notificadas relacionadas con la representación judicial de la entidad</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$ 3,636</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$ 3,542</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$ 2,125</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$ 3,572</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-$ 64</w:t>
                </w:r>
              </w:p>
            </w:tc>
          </w:tr>
          <w:tr w:rsidR="00743DA6">
            <w:trPr>
              <w:trHeight w:val="115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Gestionar Oportunamente el 100 % de las solicitudes de estructuración y/o control de legalidad de actos administrativos y emisión de conceptos jurídicos que sean puestos a consideración de la Dirección de Normatividad y Conceptos</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$ 608</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$ 608</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$ 348</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$ 602</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-$ 6</w:t>
                </w:r>
              </w:p>
            </w:tc>
          </w:tr>
          <w:tr w:rsidR="00743DA6">
            <w:trPr>
              <w:trHeight w:val="28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Fallar 80 Porciento de los procesos contravencionales que se encuentran en términos durante la vigencia</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$ 42,489</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$ 33,106</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$ 15,484</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$ 36,135</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-$ 6,354</w:t>
                </w:r>
              </w:p>
            </w:tc>
          </w:tr>
          <w:tr w:rsidR="00743DA6">
            <w:trPr>
              <w:trHeight w:val="87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Disminuir a 34,7 Unidad(es) en minutos del tiempo promedio del ciclo de atención de los trámites y servicios en el canal presencial</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$ 18,752</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$ 12,463</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$ 6,178</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$ 16,597</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-$ 2,156</w:t>
                </w:r>
              </w:p>
            </w:tc>
          </w:tr>
          <w:tr w:rsidR="00743DA6">
            <w:trPr>
              <w:trHeight w:val="105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Aumentar a 1000 Atención(es) en orientación a víctimas de siniestros viales con enfoque poblacional, diferencial y de género</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$ 3,070</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$ 1,772</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$ 880</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$ 2,378</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-$ 691</w:t>
                </w:r>
              </w:p>
            </w:tc>
          </w:tr>
          <w:tr w:rsidR="00743DA6">
            <w:trPr>
              <w:trHeight w:val="81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6 - Diseñar 100 % del programa de formación a mujeres en Oficios No Convencionales relacionados con transporte público de la ciudad con enfoque poblacional, diferencial y de género</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$ 130</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$ 97</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$ 62</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$ 112</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-$ 19</w:t>
                </w:r>
              </w:p>
            </w:tc>
          </w:tr>
          <w:tr w:rsidR="00743DA6">
            <w:trPr>
              <w:trHeight w:val="825"/>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Aumentar a 72100 Persona(s) que participan en los espacios que crea la Secretaría Distrital de Movilidad, de acuerdo con el enfoque poblacional-diferencial y de género</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$ 3,186</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$ 3,169</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$ 1,548</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$ 3,039</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-$ 146</w:t>
                </w:r>
              </w:p>
            </w:tc>
          </w:tr>
          <w:tr w:rsidR="00743DA6">
            <w:trPr>
              <w:trHeight w:val="750"/>
            </w:trPr>
            <w:tc>
              <w:tcPr>
                <w:tcW w:w="42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Crear 12 Documento(s) de lineamientos técnicos sociales, de acuerdo con el enfoque poblacional-diferencial y de género</w:t>
                </w:r>
              </w:p>
            </w:tc>
            <w:tc>
              <w:tcPr>
                <w:tcW w:w="9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$ 2,069</w:t>
                </w:r>
              </w:p>
            </w:tc>
            <w:tc>
              <w:tcPr>
                <w:tcW w:w="10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$ 2,012</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$ 836</w:t>
                </w:r>
              </w:p>
            </w:tc>
            <w:tc>
              <w:tcPr>
                <w:tcW w:w="8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$ 1,481</w:t>
                </w:r>
              </w:p>
            </w:tc>
            <w:tc>
              <w:tcPr>
                <w:tcW w:w="105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color w:val="FF0000"/>
                    <w:sz w:val="18"/>
                    <w:szCs w:val="18"/>
                  </w:rPr>
                  <w:t>-$ 588</w:t>
                </w:r>
              </w:p>
            </w:tc>
          </w:tr>
        </w:tbl>
      </w:sdtContent>
    </w:sdt>
    <w:p w:rsidR="00743DA6" w:rsidRDefault="00D95D19">
      <w:pPr>
        <w:jc w:val="both"/>
        <w:rPr>
          <w:b/>
          <w:bCs/>
          <w:sz w:val="18"/>
          <w:szCs w:val="18"/>
        </w:rPr>
      </w:pPr>
      <w:r>
        <w:rPr>
          <w:sz w:val="18"/>
          <w:szCs w:val="18"/>
        </w:rPr>
        <w:t>Fuente: Elaboración propia (2025) con base en la información suministrada por SDH (2025)</w:t>
      </w:r>
    </w:p>
    <w:p w:rsidR="00743DA6" w:rsidRDefault="00D95D19">
      <w:pPr>
        <w:spacing w:before="240" w:after="240" w:line="276" w:lineRule="auto"/>
        <w:rPr>
          <w:sz w:val="18"/>
          <w:szCs w:val="18"/>
        </w:rPr>
      </w:pPr>
      <w:r>
        <w:rPr>
          <w:b/>
          <w:bCs/>
          <w:sz w:val="22"/>
          <w:szCs w:val="22"/>
        </w:rPr>
        <w:t>Tabla No. 59. Aumentos presupuestales 2026</w:t>
      </w:r>
    </w:p>
    <w:sdt>
      <w:sdtPr>
        <w:rPr>
          <w:rFonts w:ascii="Arial" w:eastAsia="Arial" w:hAnsi="Arial" w:cs="Arial"/>
          <w:sz w:val="24"/>
          <w:szCs w:val="24"/>
          <w:lang w:val="es" w:eastAsia="es-CO"/>
        </w:rPr>
        <w:tag w:val="goog_rdk_904"/>
        <w:id w:val="827292724"/>
        <w:lock w:val="contentLocked"/>
      </w:sdtPr>
      <w:sdtEndPr/>
      <w:sdtContent>
        <w:tbl>
          <w:tblPr>
            <w:tblStyle w:val="affffffff5"/>
            <w:tblW w:w="9000" w:type="dxa"/>
            <w:tblBorders>
              <w:top w:val="nil"/>
              <w:left w:val="nil"/>
              <w:bottom w:val="nil"/>
              <w:right w:val="nil"/>
              <w:insideH w:val="nil"/>
              <w:insideV w:val="nil"/>
            </w:tblBorders>
            <w:tblLayout w:type="fixed"/>
            <w:tblLook w:val="0600" w:firstRow="0" w:lastRow="0" w:firstColumn="0" w:lastColumn="0" w:noHBand="1" w:noVBand="1"/>
          </w:tblPr>
          <w:tblGrid>
            <w:gridCol w:w="4365"/>
            <w:gridCol w:w="825"/>
            <w:gridCol w:w="930"/>
            <w:gridCol w:w="840"/>
            <w:gridCol w:w="915"/>
            <w:gridCol w:w="1125"/>
          </w:tblGrid>
          <w:tr w:rsidR="00743DA6">
            <w:trPr>
              <w:trHeight w:val="540"/>
            </w:trPr>
            <w:tc>
              <w:tcPr>
                <w:tcW w:w="9000" w:type="dxa"/>
                <w:gridSpan w:val="6"/>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jc w:val="center"/>
                  <w:rPr>
                    <w:rFonts w:ascii="Arial" w:eastAsia="Arial" w:hAnsi="Arial" w:cs="Arial"/>
                    <w:b/>
                    <w:bCs/>
                    <w:sz w:val="18"/>
                    <w:szCs w:val="18"/>
                  </w:rPr>
                </w:pPr>
                <w:r>
                  <w:rPr>
                    <w:rFonts w:ascii="Arial" w:eastAsia="Arial" w:hAnsi="Arial" w:cs="Arial"/>
                    <w:b/>
                    <w:bCs/>
                    <w:sz w:val="18"/>
                    <w:szCs w:val="18"/>
                  </w:rPr>
                  <w:t xml:space="preserve">    </w:t>
                </w:r>
                <w:r>
                  <w:rPr>
                    <w:rFonts w:ascii="Arial" w:eastAsia="Arial" w:hAnsi="Arial" w:cs="Arial"/>
                    <w:b/>
                    <w:bCs/>
                  </w:rPr>
                  <w:t>Actividades que presentan aumentos presupuestales para 2026 en el IDU</w:t>
                </w:r>
              </w:p>
            </w:tc>
          </w:tr>
          <w:tr w:rsidR="00743DA6">
            <w:trPr>
              <w:trHeight w:val="540"/>
            </w:trPr>
            <w:tc>
              <w:tcPr>
                <w:tcW w:w="4365" w:type="dxa"/>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ACTIVIDAD</w:t>
                </w:r>
              </w:p>
            </w:tc>
            <w:tc>
              <w:tcPr>
                <w:tcW w:w="82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2025</w:t>
                </w:r>
              </w:p>
            </w:tc>
            <w:tc>
              <w:tcPr>
                <w:tcW w:w="93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CONTRATADO 2025</w:t>
                </w:r>
              </w:p>
            </w:tc>
            <w:tc>
              <w:tcPr>
                <w:tcW w:w="84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GIRADO 2025</w:t>
                </w:r>
              </w:p>
            </w:tc>
            <w:tc>
              <w:tcPr>
                <w:tcW w:w="91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2026</w:t>
                </w:r>
              </w:p>
            </w:tc>
            <w:tc>
              <w:tcPr>
                <w:tcW w:w="112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DIFERENCIA 2025 - 2026</w:t>
                </w:r>
              </w:p>
            </w:tc>
          </w:tr>
          <w:tr w:rsidR="00743DA6">
            <w:trPr>
              <w:trHeight w:val="87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Realizar 1683350 Viaje(s) de acompañamiento con el proyecto Ciempiés durante el cuatrienio</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$ 4,912</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$ 4,912</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$ 3,048</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$ 6,539</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$ 1,627</w:t>
                </w:r>
              </w:p>
            </w:tc>
          </w:tr>
          <w:tr w:rsidR="00743DA6">
            <w:trPr>
              <w:trHeight w:val="81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Implementar en 139 Institución(es) distritales la estrategia de Guardacaminos en el cuatrienio</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$ 356</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$ 356</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$ 156</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$ 371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w:t>
                </w:r>
              </w:p>
            </w:tc>
          </w:tr>
          <w:tr w:rsidR="00743DA6">
            <w:trPr>
              <w:trHeight w:val="102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Realizar el control de 24000 Vehículo(s) escolares en el proyecto Ruta Pila en el cuatrienio</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$ 577</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$ 448</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$ 120</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$ 970</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$ 393</w:t>
                </w:r>
              </w:p>
            </w:tc>
          </w:tr>
          <w:tr w:rsidR="00743DA6">
            <w:trPr>
              <w:trHeight w:val="105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7 - Implementar regulación semafórica en 76 Intersección(es) de la ciudad</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$ 1,393</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$ 1,354</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$ 896</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$ 1,518</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$ 125</w:t>
                </w:r>
              </w:p>
            </w:tc>
          </w:tr>
          <w:tr w:rsidR="00743DA6">
            <w:trPr>
              <w:trHeight w:val="136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8 - Operar el 100 Porciento del Sistema Inteligente de Transporte - SIT realizando la renovación de la infraestructura tecnológica necesaria para la operación</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$ 35,915</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$ 9,378</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$ 2,064</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$ 55,902</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$ 19,988</w:t>
                </w:r>
              </w:p>
            </w:tc>
          </w:tr>
          <w:tr w:rsidR="00743DA6">
            <w:trPr>
              <w:trHeight w:val="70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Sensibilizar 600000 Persona(s) frente a temas de movilidad segura y cultura para la movilidad.</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$ 1,442</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$ 1,442</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$ 718</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$ 1,531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$ 89</w:t>
                </w:r>
              </w:p>
            </w:tc>
          </w:tr>
          <w:tr w:rsidR="00743DA6">
            <w:trPr>
              <w:trHeight w:val="124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Ejecutar 4 Plan(es) de comunicación en materia de movilidad.</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$ 3,498</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$ 2,138</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$ 1,034</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$ 3,723</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$ 225</w:t>
                </w:r>
              </w:p>
            </w:tc>
          </w:tr>
          <w:tr w:rsidR="00743DA6">
            <w:trPr>
              <w:trHeight w:val="100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Realizar 235000 Jornada(s) de gestión en vía</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$ 11,935</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$ 11,546</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$ 5,037</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$ 13,073</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$ 1,137</w:t>
                </w:r>
              </w:p>
            </w:tc>
          </w:tr>
          <w:tr w:rsidR="00743DA6">
            <w:trPr>
              <w:trHeight w:val="127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Realizar 48 Inspección(es) de seguridad vial a los puntos más críticos de siniestralidad con el fin de que sean un insumo para la toma de decisiones y/o acciones a realizar</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$ 4,983</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$ 4,983</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$ 2,277</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$ 5,992</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$ 1,010</w:t>
                </w:r>
              </w:p>
            </w:tc>
          </w:tr>
          <w:tr w:rsidR="00743DA6">
            <w:trPr>
              <w:trHeight w:val="97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Realizar 65000 Intervención(es) para la regulación y control del tránsito y el transporte en la ciudad.</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$ 46,855</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$ 26,868</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$ 15,690</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$ 52,852</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$ 5,997</w:t>
                </w:r>
              </w:p>
            </w:tc>
          </w:tr>
          <w:tr w:rsidR="00743DA6">
            <w:trPr>
              <w:trHeight w:val="73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Atender el 100 Porciento de los incidentes asignados en materia de gestión del tránsito en la ciudad</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$ 3,716</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$ 1,888</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$ 506</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$ 4,001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$ 285</w:t>
                </w:r>
              </w:p>
            </w:tc>
          </w:tr>
          <w:tr w:rsidR="00743DA6">
            <w:trPr>
              <w:trHeight w:val="87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Adelantar el 100 % de las actividades para la formulación de documentos de estudios y lineamientos técnicos en materia de seguridad vial.</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$ 466</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$ 466</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$ 262</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$ 513</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$ 48</w:t>
                </w:r>
              </w:p>
            </w:tc>
          </w:tr>
          <w:tr w:rsidR="00743DA6">
            <w:trPr>
              <w:trHeight w:val="653"/>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Realizar intervención integral de 7732 Segmento(s) viales de la malla vial arterial con señalización horizontal y vertical</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$ 8,683</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$ 6,179</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$ 3,106</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$ 21,338</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$ 12,655</w:t>
                </w:r>
              </w:p>
            </w:tc>
          </w:tr>
          <w:tr w:rsidR="00743DA6">
            <w:trPr>
              <w:trHeight w:val="114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Realizar intervención integral de 22668 Segmento(s) viales de la malla vial intermedia y local con señalización horizontal y vertical</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$ 69,545</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$ 65,993</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$ 35,802</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$ 75,714</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$ 6,169</w:t>
                </w:r>
              </w:p>
            </w:tc>
          </w:tr>
          <w:tr w:rsidR="00743DA6">
            <w:trPr>
              <w:trHeight w:val="123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Realizar el 100 Porciento de los seguimientos a los PMT autorizados que generen mayor afectación a los usuarios de la infraestructura vial</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$ 5,096</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$ 5,096</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$ 2,951</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$ 5,300</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$ 204</w:t>
                </w:r>
              </w:p>
            </w:tc>
          </w:tr>
          <w:tr w:rsidR="00743DA6">
            <w:trPr>
              <w:trHeight w:val="115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5 - Realizar seguimiento al 100 Porciento de los PMT de Troncales y de Metro de acuerdo con los parámetros establecidos.</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$ 1,962</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$ 1,472</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$ 790</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$ 2,032</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$ 70</w:t>
                </w:r>
              </w:p>
            </w:tc>
          </w:tr>
          <w:tr w:rsidR="00743DA6">
            <w:trPr>
              <w:trHeight w:val="127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Intervenir 16 Proyecto(s) de urbanismo táctico, con el fin de recuperar y reconvertir el espacio público para priorizar la movilidad y seguridad vial peatonal</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$ 1,124</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$ 712</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$ 579</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$ 1,250</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$ 127</w:t>
                </w:r>
              </w:p>
            </w:tc>
          </w:tr>
          <w:tr w:rsidR="00743DA6">
            <w:trPr>
              <w:trHeight w:val="64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Implementar 28 Kilómetro(s) de señalización y/o demarcación de cicloinfraestructura en la ciudad</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$ 503</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$ 503</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$ 277</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$ 531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$ 28</w:t>
                </w:r>
              </w:p>
            </w:tc>
          </w:tr>
          <w:tr w:rsidR="00743DA6">
            <w:trPr>
              <w:trHeight w:val="145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9 - Implementar el 100 % de una estrategia para la promoción de infraestructura de recarga de vehículos eléctricos en Bogotá D.C</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$ 232</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$ 232</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$ 136</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$ 267</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$ 34</w:t>
                </w:r>
              </w:p>
            </w:tc>
          </w:tr>
          <w:tr w:rsidR="00743DA6">
            <w:trPr>
              <w:trHeight w:val="133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5 - Implementar el 100 % de una estrategia para lograr que el 50% de bicicletas existentes en la ciudad, según la EDM 2023, se registren en la plataforma de Registro-Bici</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$ 422</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$ 268</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$ 121</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$ 441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w:t>
                </w:r>
              </w:p>
            </w:tc>
          </w:tr>
          <w:tr w:rsidR="00743DA6">
            <w:trPr>
              <w:trHeight w:val="109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Realizar 100 % de las actividades relacionadas para el mejoramiento en la prestación del servicio de transporte público de Bogotá y la Región</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$ 1,854</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$ 1,725</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$ 864</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$ 16,922</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$ 15,068</w:t>
                </w:r>
              </w:p>
            </w:tc>
          </w:tr>
          <w:tr w:rsidR="00743DA6">
            <w:trPr>
              <w:trHeight w:val="115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Realizar 100 % de la revisión y seguimiento a los proyectos relacionados con la infraestructura vial, de tránsito y transporte de la ciudad y la Región.</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$ 2,477</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$ 2,477</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$ 1,324</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$ 2,491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w:t>
                </w:r>
              </w:p>
            </w:tc>
          </w:tr>
          <w:tr w:rsidR="00743DA6">
            <w:trPr>
              <w:trHeight w:val="91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Implementar el 100 % de las actividades relacionadas con la movilidad activa de la ciudadanía en Bogotá</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$ 3,509</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$ 3,144</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$ 1,292</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$ 3,800</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$ 291</w:t>
                </w:r>
              </w:p>
            </w:tc>
          </w:tr>
          <w:tr w:rsidR="00743DA6">
            <w:trPr>
              <w:trHeight w:val="148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10 - Orientar en 100 % la formulación y seguimiento de políticas, planes, programas, proyectos y demás instrumentos de planeación de estrategias de movilidad sostenible y segura en Bogotá</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$ 6,073</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$ 4,776</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$ 2,532</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$ 9,009</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$ 2,936</w:t>
                </w:r>
              </w:p>
            </w:tc>
          </w:tr>
          <w:tr w:rsidR="00743DA6">
            <w:trPr>
              <w:trHeight w:val="145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11 - Desarrollar el 100 % de las acciones relacionadas con la toma y manejo de datos, estadísticas, modelos de transporte y estudios que sean insumo para el diagnóstico y evaluación de la movilidad de la Ciudad y la Región.</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$ 9,790</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$ 8,025</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$ 2,554</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$ 13,054</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$ 3,264</w:t>
                </w:r>
              </w:p>
            </w:tc>
          </w:tr>
          <w:tr w:rsidR="00743DA6">
            <w:trPr>
              <w:trHeight w:val="103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Fortalecer 1 Estrategia(s) de comunicaciones con el fin de socializar el Sistema de Gestión Antisoborno.</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$ 36</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$ 27</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$ 58</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w:t>
                </w:r>
              </w:p>
            </w:tc>
          </w:tr>
          <w:tr w:rsidR="00743DA6">
            <w:trPr>
              <w:trHeight w:val="117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Mantener 1 Estrategia(s) anual para la sostenibilidad del sistema de control interno</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$ 411</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$ 411</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$ 232</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$ 472</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$ 61</w:t>
                </w:r>
              </w:p>
            </w:tc>
          </w:tr>
          <w:tr w:rsidR="00743DA6">
            <w:trPr>
              <w:trHeight w:val="60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3 - Fortalecer 1 Estrategia(s) anual de integridad para socializar los temas de integridad, transparencia y lucha contra la corrupción.</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$ 36</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$ 36</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$ 0</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$ 40</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w:t>
                </w:r>
              </w:p>
            </w:tc>
          </w:tr>
          <w:tr w:rsidR="00743DA6">
            <w:trPr>
              <w:trHeight w:val="109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Mejorar, optimizar y robustecer el 97 Porciento de la plataforma tecnológica de la SDM con un modelo hibrido para afinar sus componentes y fortificar su infraestructura</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$ 24,398</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$ 12,004</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$ 6,117</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$ 26,153</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$ 1,755</w:t>
                </w:r>
              </w:p>
            </w:tc>
          </w:tr>
          <w:tr w:rsidR="00743DA6">
            <w:trPr>
              <w:trHeight w:val="135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Mejorar, optimizar y robustecer el 97 Porciento de las aplicaciones y sistemas de información que sostienen la operación interna y garantizan la transparencia en los procesos propios de la Entidad</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$ 3,112</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$ 2,210</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$ 1,182</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$ 4,564</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$ 1,452</w:t>
                </w:r>
              </w:p>
            </w:tc>
          </w:tr>
          <w:tr w:rsidR="00743DA6">
            <w:trPr>
              <w:trHeight w:val="100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Realizar 2 Seguimiento(s) anuales para la certificación de los Sistemas de Gestión a cargo de la OTIC bajo la normatividad vigente que les aplique.</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$ 359</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$ 199</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$ 130</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$ 611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$ 252</w:t>
                </w:r>
              </w:p>
            </w:tc>
          </w:tr>
          <w:tr w:rsidR="00743DA6">
            <w:trPr>
              <w:trHeight w:val="117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Implementar el 100 Porciento de la estrategia anual para la sostenibilidad y mejora del Sistema de Gestión Ambiental</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$ 394</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$ 358</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$ 81</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$ 429</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$ 36</w:t>
                </w:r>
              </w:p>
            </w:tc>
          </w:tr>
          <w:tr w:rsidR="00743DA6">
            <w:trPr>
              <w:trHeight w:val="85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Alcanzar el 100 Porciento de la implementación total de la estrategia anual para la sostenibilidad del sistema de calidad.</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$ 1,336</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$ 1,329</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$ 541</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$ 1,466</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$ 130</w:t>
                </w:r>
              </w:p>
            </w:tc>
          </w:tr>
          <w:tr w:rsidR="00743DA6">
            <w:trPr>
              <w:trHeight w:val="156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5 - Garantizar la continuidad y eficiencia del 100 Porciento de los servicios corporativos, asegurando el adecuado funcionamiento de la entidad mediante la implementación de medidas preventivas, correctivas y de monitoreo continuo.</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$ 11,860</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$ 10,399</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$ 1,939</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$ 13,246</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$ 1,386</w:t>
                </w:r>
              </w:p>
            </w:tc>
          </w:tr>
          <w:tr w:rsidR="00743DA6">
            <w:trPr>
              <w:trHeight w:val="96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Resolver oportunamente el 100 % de las solicitudes y actuaciones que hacen parte de los procesos disciplinarios en etapa de juzgamiento que sean puestos a consideración de la SGJ</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$ 700</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$ 679</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$ 390</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$ 743</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$ 43</w:t>
                </w:r>
              </w:p>
            </w:tc>
          </w:tr>
          <w:tr w:rsidR="00743DA6">
            <w:trPr>
              <w:trHeight w:val="117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Tramitar el 100 % de los procesos contractuales que sean radicados en la Dirección de Contratación.</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$ 4,977</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$ 4,933</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$ 2,583</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$ 6,650</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$ 1,673</w:t>
                </w:r>
              </w:p>
            </w:tc>
          </w:tr>
          <w:tr w:rsidR="00743DA6">
            <w:trPr>
              <w:trHeight w:val="141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5 - Efectuar la gestión de cobro al 100 % de las obligaciones que sean cobrables, en los términos previstos por la ley y de acuerdo a los lineamientos establecidos en el Manual de Cobro Administrativo Coactivo de la Secretaría Distrital de Movilidad</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$ 15,742</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$ 13,431</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$ 7,449</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$ 19,305</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$ 3,563</w:t>
                </w:r>
              </w:p>
            </w:tc>
          </w:tr>
          <w:tr w:rsidR="00743DA6">
            <w:trPr>
              <w:trHeight w:val="103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2 - Implementar 100 Porciento del Sistema de información Contravencional preciso, confiable y oportuno</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$ 3,478</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$ 2,871</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$ 2,493</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$ 4,021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$ 544</w:t>
                </w:r>
              </w:p>
            </w:tc>
          </w:tr>
          <w:tr w:rsidR="00743DA6">
            <w:trPr>
              <w:trHeight w:val="1080"/>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1 - Alcanzar un 97 % de atenciones resueltas en el primer contacto sobre la oferta de trámites y servicios de la Secretaría Distrital de Movilidad</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$ 17,980</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$ 16,017</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$ 6,593</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$ 21,701</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$ 3,721</w:t>
                </w:r>
              </w:p>
            </w:tc>
          </w:tr>
          <w:tr w:rsidR="00743DA6">
            <w:trPr>
              <w:trHeight w:val="127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4 - Aumentar a 10900 Persona(s) en actividades de formación en temas de prevención de siniestralidad vial con enfoque poblacional, diferencial y de género</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$ 225</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$ 225</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$ 114</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$ 273</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$ 48</w:t>
                </w:r>
              </w:p>
            </w:tc>
          </w:tr>
          <w:tr w:rsidR="00743DA6">
            <w:trPr>
              <w:trHeight w:val="1155"/>
            </w:trPr>
            <w:tc>
              <w:tcPr>
                <w:tcW w:w="436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5 - Incrementar a 11625 Curso(s) pedagógicos dictados a la ciudadanía anualmente con enfoque poblacional, diferencial y de género.</w:t>
                </w:r>
              </w:p>
            </w:tc>
            <w:tc>
              <w:tcPr>
                <w:tcW w:w="8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$ 3,038</w:t>
                </w:r>
              </w:p>
            </w:tc>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$ 2,960</w:t>
                </w:r>
              </w:p>
            </w:tc>
            <w:tc>
              <w:tcPr>
                <w:tcW w:w="84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$ 1,561</w:t>
                </w:r>
              </w:p>
            </w:tc>
            <w:tc>
              <w:tcPr>
                <w:tcW w:w="91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$ 3,717</w:t>
                </w:r>
              </w:p>
            </w:tc>
            <w:tc>
              <w:tcPr>
                <w:tcW w:w="11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before="240" w:after="240" w:line="276" w:lineRule="auto"/>
                  <w:jc w:val="right"/>
                  <w:rPr>
                    <w:rFonts w:ascii="Arial" w:eastAsia="Arial" w:hAnsi="Arial" w:cs="Arial"/>
                    <w:sz w:val="18"/>
                    <w:szCs w:val="18"/>
                  </w:rPr>
                </w:pPr>
                <w:r>
                  <w:rPr>
                    <w:rFonts w:ascii="Arial" w:eastAsia="Arial" w:hAnsi="Arial" w:cs="Arial"/>
                    <w:sz w:val="18"/>
                    <w:szCs w:val="18"/>
                  </w:rPr>
                  <w:t>$ 679</w:t>
                </w:r>
              </w:p>
            </w:tc>
          </w:tr>
        </w:tbl>
      </w:sdtContent>
    </w:sdt>
    <w:p w:rsidR="00743DA6" w:rsidRDefault="00D95D19">
      <w:pPr>
        <w:jc w:val="both"/>
        <w:rPr>
          <w:sz w:val="22"/>
          <w:szCs w:val="22"/>
        </w:rPr>
      </w:pPr>
      <w:r>
        <w:rPr>
          <w:sz w:val="18"/>
          <w:szCs w:val="18"/>
        </w:rPr>
        <w:t>Fuente: Elaboración propia (2025) con base en la información suministrada por SDH (2025)</w:t>
      </w:r>
    </w:p>
    <w:p w:rsidR="00743DA6" w:rsidRDefault="00D95D19">
      <w:pPr>
        <w:spacing w:before="240" w:after="240" w:line="276" w:lineRule="auto"/>
        <w:jc w:val="both"/>
        <w:rPr>
          <w:sz w:val="22"/>
          <w:szCs w:val="22"/>
        </w:rPr>
      </w:pPr>
      <w:r>
        <w:rPr>
          <w:sz w:val="22"/>
          <w:szCs w:val="22"/>
        </w:rPr>
        <w:t>El comportamiento presupuestal de la Secretaría Distrital de Movilidad para 2026 revela una situación profundamente contradictoria entre lo que la entidad solicita y lo que realmente ejecutó en 2025. Aunque el presupuesto programado para 2026 aumenta apenas un 0,81% respecto al año anterior, pasando de $627.935 millones a $633.015 millones, el verdadero problema no está en el valor solicitado, sino en la capacidad de ejecución: la SDM solo logró pagar el 32,46% del presupuesto asignado este año. Es decir, de cada tres pesos aprobados, solo uno llegó efectivamente a ejecutarse. A esto se suma un rezago preocupante: $235 mil millones comprometidos en 2025 que no fueron pagados, convirtiéndose en una presión financiera para 2026. Esta baja ejecución no es un problema técnico aislado; es un síntoma de una gestión que no logra materializar sus metas, aun cuando los retos de movilidad, tráfico, semaforización y seguridad vial aumentan.</w:t>
      </w:r>
    </w:p>
    <w:p w:rsidR="00743DA6" w:rsidRDefault="00D95D19">
      <w:pPr>
        <w:spacing w:before="240" w:after="240" w:line="276" w:lineRule="auto"/>
        <w:jc w:val="both"/>
        <w:rPr>
          <w:sz w:val="22"/>
          <w:szCs w:val="22"/>
        </w:rPr>
      </w:pPr>
      <w:r>
        <w:rPr>
          <w:sz w:val="22"/>
          <w:szCs w:val="22"/>
        </w:rPr>
        <w:t>Pese a este desempeño crítico, la Secretaría concentra los aumentos más significativos del presupuesto 2026 precisamente en aquellas actividades que ya mostraron dificultades para ejecutarse. El caso más evidente es el Sistema Inteligente de Transporte (SIT): en 2025 tenía asignados $35.914 millones, pero solo logró pagar $2.063 millones, menos del 6%. Aun así, para 2026 esta misma actividad recibe una ampliación masiva de recursos, llegando a $55.902 millones. Lo mismo ocurre con la señalización vial arterial e intermedia y con la actividad de mejoramiento del servicio de transporte público, que multiplican sus asignaciones sin haber mostrado resultados contundentes. Esto indica que la SDM insiste en priorizar un modelo centrado en tecnología costosa, consultorías, software y modernización digital, sin resolver los cuellos de botella de ejecución que les impiden materializar estos proyectos en el territorio.</w:t>
      </w:r>
    </w:p>
    <w:p w:rsidR="00743DA6" w:rsidRDefault="00D95D19">
      <w:pPr>
        <w:spacing w:before="240" w:after="240" w:line="276" w:lineRule="auto"/>
        <w:jc w:val="both"/>
        <w:rPr>
          <w:sz w:val="22"/>
          <w:szCs w:val="22"/>
        </w:rPr>
      </w:pPr>
      <w:r>
        <w:rPr>
          <w:sz w:val="22"/>
          <w:szCs w:val="22"/>
        </w:rPr>
        <w:t>Mientras tanto, los recortes se concentran en áreas de alta sensibilidad ciudadana y alto impacto operativo. Se reduce drásticamente el presupuesto del Sistema de Detección Electrónica de Infracciones (SDEI), de $18.803 millones a $1.991 millones, lo cual es llamativo porque se trata de uno de los sistemas que más contribuye al control efectivo de conductores infractores y a la seguridad vial. También se disminuyen recursos para la gestión de medidas inmediatas de movilidad, la ampliación semafórica, la disponibilidad del sistema de semáforos y la regulación escolar del programa "Al Colegio en Bici". Es decir, mientras se incrementa el presupuesto en tecnología centralizada, se reduce la inversión en operación directa, en respuesta rápida, en articulación interinstitucional y en seguridad vial comunitaria, que son justamente las áreas que estructuran la movilidad cotidiana de barrios y localidades.</w:t>
      </w:r>
    </w:p>
    <w:p w:rsidR="00743DA6" w:rsidRDefault="00D95D19">
      <w:pPr>
        <w:spacing w:before="240" w:after="240" w:line="276" w:lineRule="auto"/>
        <w:jc w:val="both"/>
        <w:rPr>
          <w:sz w:val="22"/>
          <w:szCs w:val="22"/>
        </w:rPr>
      </w:pPr>
      <w:r>
        <w:rPr>
          <w:sz w:val="22"/>
          <w:szCs w:val="22"/>
        </w:rPr>
        <w:t>En suma, la Secretaría de Movilidad presenta un presupuesto para 2026 que no responde a los problemas reales de gestión que se evidenciaron durante 2025. Las líneas operativas, las intervenciones en territorio y los programas con impacto social presentan reducciones, mientras que las plataformas digitales, los sistemas inteligentes y la modelación de datos reciben enormes incrementos pese a que, durante este año, no demostraron capacidad de ejecución. La estructura general del presupuesto muestra una apuesta por un modelo de movilidad altamente tecnificada, pero débil en calle, débil en respuesta inmediata y débil en programas sociales. Esto genera un desbalance que afecta sobre todo a las localidades más vulnerables, que continúan sin ver mejoras significativas en semaforización, control del tráfico, seguridad vial o regulación de transporte público.</w:t>
      </w:r>
    </w:p>
    <w:p w:rsidR="00743DA6" w:rsidRDefault="00D95D19">
      <w:pPr>
        <w:spacing w:before="240" w:after="240" w:line="276" w:lineRule="auto"/>
        <w:jc w:val="both"/>
        <w:rPr>
          <w:sz w:val="22"/>
          <w:szCs w:val="22"/>
        </w:rPr>
      </w:pPr>
      <w:r>
        <w:rPr>
          <w:sz w:val="22"/>
          <w:szCs w:val="22"/>
        </w:rPr>
        <w:t>Desde esta perspectiva, es necesario replantearse la capacidad real de ejecución de esta entidad, la cual solo ejecutó un tercio de su presupuesto pero solicita nuevamente casi la misma suma para el año siguiente y, además, incrementa actividades que no pudo ejecutar mientras recorta aquellas que sí tienen impacto directo en la movilidad diaria de los ciudadanos. No se comprenden los cuellos de botella institucionales —contratación, diseño de proyectos, retrasos técnicos o falta de capacidad operativa— y, sobre todo, se evidencia que el presupuesto 2026 no es coherente con las necesidades reales de la ciudad, pues no se prioriza la operación en calle, la seguridad vial, la movilidad escolar y la intervención de puntos críticos por encima de sistemas tecnológicos que, aunque necesarios, no pueden seguir siendo financiados de manera expansiva mientras su ejecución continúa rezagada.</w:t>
      </w:r>
    </w:p>
    <w:p w:rsidR="00743DA6" w:rsidRDefault="00743DA6">
      <w:pPr>
        <w:pBdr>
          <w:top w:val="nil"/>
          <w:left w:val="nil"/>
          <w:bottom w:val="nil"/>
          <w:right w:val="nil"/>
          <w:between w:val="nil"/>
        </w:pBdr>
        <w:spacing w:line="259" w:lineRule="auto"/>
        <w:rPr>
          <w:sz w:val="22"/>
          <w:szCs w:val="22"/>
        </w:rPr>
      </w:pPr>
    </w:p>
    <w:p w:rsidR="00743DA6" w:rsidRDefault="00D95D19">
      <w:pPr>
        <w:pBdr>
          <w:top w:val="nil"/>
          <w:left w:val="nil"/>
          <w:bottom w:val="nil"/>
          <w:right w:val="nil"/>
          <w:between w:val="nil"/>
        </w:pBdr>
        <w:spacing w:line="259" w:lineRule="auto"/>
        <w:rPr>
          <w:b/>
          <w:bCs/>
          <w:color w:val="000000"/>
          <w:sz w:val="22"/>
          <w:szCs w:val="22"/>
        </w:rPr>
      </w:pPr>
      <w:r>
        <w:rPr>
          <w:b/>
          <w:bCs/>
          <w:color w:val="000000"/>
          <w:sz w:val="22"/>
          <w:szCs w:val="22"/>
        </w:rPr>
        <w:t>Instituto de Desarrollo Urbano</w:t>
      </w:r>
    </w:p>
    <w:p w:rsidR="00743DA6" w:rsidRDefault="00743DA6">
      <w:pPr>
        <w:pBdr>
          <w:top w:val="nil"/>
          <w:left w:val="nil"/>
          <w:bottom w:val="nil"/>
          <w:right w:val="nil"/>
          <w:between w:val="nil"/>
        </w:pBdr>
        <w:spacing w:line="259" w:lineRule="auto"/>
        <w:rPr>
          <w:b/>
          <w:bCs/>
          <w:sz w:val="22"/>
          <w:szCs w:val="22"/>
        </w:rPr>
      </w:pPr>
    </w:p>
    <w:p w:rsidR="00743DA6" w:rsidRDefault="00D95D19">
      <w:pPr>
        <w:pBdr>
          <w:top w:val="nil"/>
          <w:left w:val="nil"/>
          <w:bottom w:val="nil"/>
          <w:right w:val="nil"/>
          <w:between w:val="nil"/>
        </w:pBdr>
        <w:spacing w:line="259" w:lineRule="auto"/>
        <w:rPr>
          <w:b/>
          <w:bCs/>
          <w:sz w:val="22"/>
          <w:szCs w:val="22"/>
        </w:rPr>
      </w:pPr>
      <w:r>
        <w:rPr>
          <w:b/>
          <w:bCs/>
          <w:sz w:val="22"/>
          <w:szCs w:val="22"/>
        </w:rPr>
        <w:t>Histórico de Presupuesto:</w:t>
      </w:r>
    </w:p>
    <w:p w:rsidR="00743DA6" w:rsidRDefault="00743DA6"/>
    <w:p w:rsidR="00743DA6" w:rsidRDefault="00D95D19">
      <w:pPr>
        <w:spacing w:after="200" w:line="276" w:lineRule="auto"/>
        <w:jc w:val="both"/>
        <w:rPr>
          <w:sz w:val="22"/>
          <w:szCs w:val="22"/>
        </w:rPr>
      </w:pPr>
      <w:r>
        <w:rPr>
          <w:sz w:val="22"/>
          <w:szCs w:val="22"/>
        </w:rPr>
        <w:t>Se observa una concepción de ciudad orientada principalmente por criterios de infraestructura a gran escala, donde la priorización de proyectos estratégicos, los indicadores de eficiencia y la rentabilidad técnica orientan buena parte de las decisiones públicas. Bajo este enfoque, la escala barrial, veredal o de los desplazamientos cotidianos adquiere un lugar secundario frente a la ejecución de obras de alto costo y visibilidad. El resultado es un modelo urbano que organiza su estructura en función del movimiento de grandes flujos, de transporte, inversión y conectividad, mientras que las dinámicas locales, el uso cotidiano del espacio y las necesidades de proximidad quedan menos incorporadas en la planificación. Este desbalance condiciona la experiencia urbana y restringe la capacidad de la ciudad para responder de manera integral a las prácticas y trayectorias de la vida diaria.</w:t>
      </w:r>
    </w:p>
    <w:p w:rsidR="00743DA6" w:rsidRDefault="00743DA6">
      <w:pPr>
        <w:spacing w:after="200" w:line="276" w:lineRule="auto"/>
        <w:jc w:val="both"/>
        <w:rPr>
          <w:sz w:val="22"/>
          <w:szCs w:val="22"/>
        </w:rPr>
      </w:pPr>
    </w:p>
    <w:p w:rsidR="00743DA6" w:rsidRDefault="00D95D19">
      <w:pPr>
        <w:spacing w:after="200" w:line="276" w:lineRule="auto"/>
        <w:jc w:val="center"/>
        <w:rPr>
          <w:sz w:val="18"/>
          <w:szCs w:val="18"/>
        </w:rPr>
      </w:pPr>
      <w:r>
        <w:rPr>
          <w:sz w:val="18"/>
          <w:szCs w:val="18"/>
        </w:rPr>
        <w:t>Gráfico comparativo presupuestal IDU 2022 - 2026</w:t>
      </w:r>
    </w:p>
    <w:p w:rsidR="00743DA6" w:rsidRDefault="00D95D19">
      <w:pPr>
        <w:spacing w:line="276" w:lineRule="auto"/>
        <w:rPr>
          <w:sz w:val="22"/>
          <w:szCs w:val="22"/>
        </w:rPr>
      </w:pPr>
      <w:r>
        <w:rPr>
          <w:noProof/>
          <w:sz w:val="22"/>
          <w:szCs w:val="22"/>
          <w:lang w:val="es-CO"/>
        </w:rPr>
        <w:drawing>
          <wp:inline distT="114300" distB="114300" distL="114300" distR="114300">
            <wp:extent cx="5612130" cy="3276600"/>
            <wp:effectExtent l="0" t="0" r="0" b="0"/>
            <wp:docPr id="212739957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8"/>
                    <a:srcRect/>
                    <a:stretch>
                      <a:fillRect/>
                    </a:stretch>
                  </pic:blipFill>
                  <pic:spPr>
                    <a:xfrm>
                      <a:off x="0" y="0"/>
                      <a:ext cx="5612130" cy="3276600"/>
                    </a:xfrm>
                    <a:prstGeom prst="rect">
                      <a:avLst/>
                    </a:prstGeom>
                    <a:ln/>
                  </pic:spPr>
                </pic:pic>
              </a:graphicData>
            </a:graphic>
          </wp:inline>
        </w:drawing>
      </w:r>
    </w:p>
    <w:p w:rsidR="00743DA6" w:rsidRDefault="00D95D19">
      <w:pPr>
        <w:spacing w:before="240" w:after="240" w:line="276" w:lineRule="auto"/>
        <w:jc w:val="center"/>
        <w:rPr>
          <w:sz w:val="22"/>
          <w:szCs w:val="22"/>
        </w:rPr>
      </w:pPr>
      <w:r>
        <w:rPr>
          <w:b/>
          <w:bCs/>
          <w:sz w:val="18"/>
          <w:szCs w:val="18"/>
        </w:rPr>
        <w:t>Fuente</w:t>
      </w:r>
      <w:r>
        <w:rPr>
          <w:sz w:val="18"/>
          <w:szCs w:val="18"/>
        </w:rPr>
        <w:t>: Elaboración propia (2025) con base en la información suministrada de la SDH: Comparativo presupuesto anual por entidades 2022-2026</w:t>
      </w:r>
    </w:p>
    <w:p w:rsidR="00743DA6" w:rsidRDefault="00D95D19">
      <w:pPr>
        <w:spacing w:before="240" w:after="240" w:line="276" w:lineRule="auto"/>
        <w:jc w:val="both"/>
        <w:rPr>
          <w:sz w:val="22"/>
          <w:szCs w:val="22"/>
        </w:rPr>
      </w:pPr>
      <w:r>
        <w:rPr>
          <w:sz w:val="22"/>
          <w:szCs w:val="22"/>
        </w:rPr>
        <w:t>El comportamiento presupuestal del Instituto de Desarrollo Urbano - IDU entre 2022 y 2026 muestra con claridad que estamos frente a una entidad con una enorme capacidad de contratación, pero con dificultades estructurales para traducir esos contratos en obra ejecutada y pagada. El gráfico lo evidencia: la línea azul, que representa el presupuesto programado, se mantiene siempre en niveles muy altos —entre $4 y $5 billones— confirmando que el Distrito sigue depositando en el IDU la responsabilidad central de jalonar la infraestructura vial estratégica de la ciudad, naturalmente. Sin embargo, esa misma línea exhibe una marcada volatilidad: un salto significativo en 2023, una caída abrupta en 2024, un repunte en 2025 y una nueva reducción programada para 2026. Estas variaciones no responden a un plan de inversión estable ni a una política de largo plazo; obedecen más bien a la lógica coyuntural de las administraciones, a la disponibilidad de recursos para obras específicas y a las decisiones altamente discrecionales sobre priorización de corredores.</w:t>
      </w:r>
    </w:p>
    <w:p w:rsidR="00743DA6" w:rsidRDefault="00D95D19">
      <w:pPr>
        <w:spacing w:before="240" w:after="240" w:line="276" w:lineRule="auto"/>
        <w:jc w:val="both"/>
        <w:rPr>
          <w:sz w:val="22"/>
          <w:szCs w:val="22"/>
        </w:rPr>
      </w:pPr>
      <w:r>
        <w:rPr>
          <w:sz w:val="22"/>
          <w:szCs w:val="22"/>
        </w:rPr>
        <w:t>En contraste, las líneas de ejecución —compromisos y giros— se mantienen sustancialmente por debajo del presupuesto programado. Es cierto que el IDU muestra mejores niveles de desempeño que otras entidades del sector movilidad: mientras Movilidad y Ambiente apenas lograron pagar alrededor del 32% de sus presupuestos en 2025, el IDU alcanzó una ejecución cercana al 53%. Esto significa que, a diferencia de otras entidades, el IDU al menos logra evitar la parálisis administrativa. Pero un 53% de ejecución en infraestructura sigue siendo insuficiente y preocupante: quiere decir que casi la mitad de los recursos no se convierten en obra pagada, y que las labores de campo. que deberían traducirse en avances reales para la ciudadanía, terminan quedándose rezagadas, aplazadas o acumuladas como vigencias futuras y obligaciones sin cancelar.</w:t>
      </w:r>
    </w:p>
    <w:p w:rsidR="00743DA6" w:rsidRDefault="00D95D19">
      <w:pPr>
        <w:spacing w:before="240" w:after="240" w:line="276" w:lineRule="auto"/>
        <w:jc w:val="both"/>
        <w:rPr>
          <w:sz w:val="22"/>
          <w:szCs w:val="22"/>
        </w:rPr>
      </w:pPr>
      <w:r>
        <w:rPr>
          <w:sz w:val="22"/>
          <w:szCs w:val="22"/>
        </w:rPr>
        <w:t>La línea naranja del gráfico (contratado) se ubica siempre cerca del presupuesto aprobado. Esto muestra que el IDU tiene capacidad para firmar contratos de gran envergadura, lo cual es coherente con su papel como ejecutor de megaobras. Pero la línea roja (pagado) revela la verdadera tensión interna: mientras el IDU contrata casi la totalidad de lo asignado, no logra ejecutar ni pagar esas obras al mismo ritmo. Es decir, el problema no está en la estructuración de contratos ni en la adjudicación, sino en la ejecución física en el territorio y en la capacidad de llevar a término las obras dentro de los plazos y costos previstos. Esta brecha sistemática entre lo contratado y lo pagado se convierte en una mochila financiera que el IDU arrastra año tras año y que termina presionando los presupuestos subsiguientes, limitando la capacidad de iniciar proyectos nuevos, saldar deudas históricas de infraestructura con los barrios populares y las localidades del sur o de responder a necesidades emergentes de la ciudad.</w:t>
      </w:r>
    </w:p>
    <w:p w:rsidR="00743DA6" w:rsidRDefault="00D95D19">
      <w:pPr>
        <w:spacing w:before="240" w:after="240" w:line="276" w:lineRule="auto"/>
        <w:jc w:val="both"/>
        <w:rPr>
          <w:sz w:val="22"/>
          <w:szCs w:val="22"/>
        </w:rPr>
      </w:pPr>
      <w:r>
        <w:rPr>
          <w:sz w:val="22"/>
          <w:szCs w:val="22"/>
        </w:rPr>
        <w:t>Por todo lo anterior, el gráfico confirma lo que los documentos de presupuesto, MFMP y anexos de inversión también dejan entrever: el IDU sigue siendo la columna vertebral de la infraestructura de Bogotá, pero su desempeño tiene un techo claro que todavía no logra romper. La entidad está contratando mucho, pero ejecutando a medias; está recibiendo asignaciones multimillonarias, pero con resultados que no avanzan al ritmo esperado por los ciudadanos ni por el propio gobierno. Esta brecha es el centro de discusión de esta ponencia en cuanto al IDU: no se trata de cuestionar el tamaño del presupuesto de la entidad, la ciudad necesita inversión, sino de entender hacia dónde van los recursos asignados, cuáles son los territorios priorizados, por qué las obras no avanzan, los pagos no se realizan oportunamente y las metas de movilidad, espacio público y malla vial siguen retrasadas.</w:t>
      </w:r>
    </w:p>
    <w:p w:rsidR="00743DA6" w:rsidRDefault="00D95D19">
      <w:pPr>
        <w:spacing w:line="276" w:lineRule="auto"/>
        <w:jc w:val="both"/>
        <w:rPr>
          <w:b/>
          <w:bCs/>
          <w:sz w:val="22"/>
          <w:szCs w:val="22"/>
        </w:rPr>
      </w:pPr>
      <w:r>
        <w:rPr>
          <w:b/>
          <w:bCs/>
          <w:sz w:val="22"/>
          <w:szCs w:val="22"/>
        </w:rPr>
        <w:t>Hallazgos y Alertas</w:t>
      </w:r>
    </w:p>
    <w:p w:rsidR="00743DA6" w:rsidRDefault="00743DA6">
      <w:pPr>
        <w:spacing w:line="276" w:lineRule="auto"/>
        <w:jc w:val="both"/>
        <w:rPr>
          <w:b/>
          <w:bCs/>
          <w:sz w:val="22"/>
          <w:szCs w:val="22"/>
        </w:rPr>
      </w:pPr>
    </w:p>
    <w:p w:rsidR="00743DA6" w:rsidRDefault="00D95D19">
      <w:pPr>
        <w:spacing w:line="276" w:lineRule="auto"/>
        <w:jc w:val="both"/>
        <w:rPr>
          <w:b/>
          <w:bCs/>
          <w:sz w:val="22"/>
          <w:szCs w:val="22"/>
        </w:rPr>
      </w:pPr>
      <w:r>
        <w:rPr>
          <w:b/>
          <w:bCs/>
          <w:sz w:val="22"/>
          <w:szCs w:val="22"/>
        </w:rPr>
        <w:t>1) ¿Cuánto dinero presupuesta el IDU para 2026 y en qué bloques?</w:t>
      </w:r>
    </w:p>
    <w:p w:rsidR="00743DA6" w:rsidRDefault="00D95D19">
      <w:pPr>
        <w:spacing w:before="240" w:after="240" w:line="276" w:lineRule="auto"/>
        <w:jc w:val="both"/>
        <w:rPr>
          <w:sz w:val="22"/>
          <w:szCs w:val="22"/>
        </w:rPr>
      </w:pPr>
      <w:r>
        <w:rPr>
          <w:sz w:val="22"/>
          <w:szCs w:val="22"/>
        </w:rPr>
        <w:t xml:space="preserve">Para 2026, el Instituto de Desarrollo Urbano (IDU) proyecta un total de $2,499 billones. </w:t>
      </w:r>
    </w:p>
    <w:p w:rsidR="00743DA6" w:rsidRDefault="00D95D19">
      <w:pPr>
        <w:spacing w:before="240" w:after="240" w:line="276" w:lineRule="auto"/>
        <w:jc w:val="both"/>
        <w:rPr>
          <w:sz w:val="22"/>
          <w:szCs w:val="22"/>
        </w:rPr>
      </w:pPr>
      <w:r>
        <w:rPr>
          <w:sz w:val="22"/>
          <w:szCs w:val="22"/>
        </w:rPr>
        <w:t>En 2025 se programó: $ 2,724,413</w:t>
      </w:r>
    </w:p>
    <w:p w:rsidR="00743DA6" w:rsidRDefault="00D95D19">
      <w:pPr>
        <w:spacing w:before="240" w:after="240" w:line="276" w:lineRule="auto"/>
        <w:jc w:val="both"/>
        <w:rPr>
          <w:sz w:val="22"/>
          <w:szCs w:val="22"/>
        </w:rPr>
      </w:pPr>
      <w:r>
        <w:rPr>
          <w:sz w:val="22"/>
          <w:szCs w:val="22"/>
        </w:rPr>
        <w:t>En 2025 comprometió: $ 902,476</w:t>
      </w:r>
    </w:p>
    <w:p w:rsidR="00743DA6" w:rsidRDefault="00D95D19">
      <w:pPr>
        <w:spacing w:before="240" w:after="240" w:line="276" w:lineRule="auto"/>
        <w:jc w:val="both"/>
        <w:rPr>
          <w:sz w:val="22"/>
          <w:szCs w:val="22"/>
        </w:rPr>
      </w:pPr>
      <w:r>
        <w:rPr>
          <w:sz w:val="22"/>
          <w:szCs w:val="22"/>
        </w:rPr>
        <w:t>En 2025 se giró: $ 557,410</w:t>
      </w:r>
    </w:p>
    <w:p w:rsidR="00743DA6" w:rsidRDefault="00D95D19">
      <w:pPr>
        <w:spacing w:before="240" w:after="240" w:line="276" w:lineRule="auto"/>
        <w:jc w:val="both"/>
        <w:rPr>
          <w:sz w:val="22"/>
          <w:szCs w:val="22"/>
        </w:rPr>
      </w:pPr>
      <w:r>
        <w:rPr>
          <w:sz w:val="22"/>
          <w:szCs w:val="22"/>
        </w:rPr>
        <w:t>Diferencia: –$225,413 millones</w:t>
      </w:r>
    </w:p>
    <w:p w:rsidR="00743DA6" w:rsidRDefault="00D95D19">
      <w:pPr>
        <w:spacing w:before="240" w:after="240" w:line="276" w:lineRule="auto"/>
        <w:jc w:val="both"/>
        <w:rPr>
          <w:sz w:val="22"/>
          <w:szCs w:val="22"/>
        </w:rPr>
      </w:pPr>
      <w:r>
        <w:rPr>
          <w:sz w:val="22"/>
          <w:szCs w:val="22"/>
        </w:rPr>
        <w:t>Variación porcentual: –8,28 %</w:t>
      </w:r>
    </w:p>
    <w:p w:rsidR="00743DA6" w:rsidRDefault="00D95D19">
      <w:pPr>
        <w:spacing w:before="240" w:after="240" w:line="276" w:lineRule="auto"/>
        <w:jc w:val="both"/>
        <w:rPr>
          <w:sz w:val="22"/>
          <w:szCs w:val="22"/>
        </w:rPr>
      </w:pPr>
      <w:r>
        <w:rPr>
          <w:sz w:val="22"/>
          <w:szCs w:val="22"/>
        </w:rPr>
        <w:t>El presupuesto se agrupa principalmente en tres grandes programas. La mayor reducción se observa en el programa de Espacio Público, mientras que el programa de Fortalecimiento Institucional presenta un aumento considerable, impulsado casi en su totalidad por un proyecto de infraestructura física para la entidad.</w:t>
      </w:r>
    </w:p>
    <w:p w:rsidR="00743DA6" w:rsidRDefault="00D95D19">
      <w:pPr>
        <w:numPr>
          <w:ilvl w:val="0"/>
          <w:numId w:val="42"/>
        </w:numPr>
        <w:spacing w:before="240" w:line="276" w:lineRule="auto"/>
        <w:jc w:val="both"/>
        <w:rPr>
          <w:sz w:val="22"/>
          <w:szCs w:val="22"/>
        </w:rPr>
      </w:pPr>
      <w:r>
        <w:rPr>
          <w:sz w:val="22"/>
          <w:szCs w:val="22"/>
        </w:rPr>
        <w:t xml:space="preserve"> Espacio público seguro e inclusivo: Disminución significativa (-42,7%). Se reducen los recursos para construcción y conservación de andenes y espacio público general.</w:t>
      </w:r>
    </w:p>
    <w:p w:rsidR="00743DA6" w:rsidRDefault="00D95D19">
      <w:pPr>
        <w:numPr>
          <w:ilvl w:val="0"/>
          <w:numId w:val="42"/>
        </w:numPr>
        <w:spacing w:line="276" w:lineRule="auto"/>
        <w:jc w:val="both"/>
        <w:rPr>
          <w:sz w:val="22"/>
          <w:szCs w:val="22"/>
        </w:rPr>
      </w:pPr>
      <w:r>
        <w:rPr>
          <w:sz w:val="22"/>
          <w:szCs w:val="22"/>
        </w:rPr>
        <w:t xml:space="preserve"> Movilidad Sostenible: Disminución moderada (-5,8%). Aunque hay actividades que crecen (como la operación de troncales), las reducciones en conservación de malla vial arterial y gestión predial pesan más en el total.</w:t>
      </w:r>
    </w:p>
    <w:p w:rsidR="00743DA6" w:rsidRDefault="00D95D19">
      <w:pPr>
        <w:numPr>
          <w:ilvl w:val="0"/>
          <w:numId w:val="42"/>
        </w:numPr>
        <w:spacing w:after="240" w:line="276" w:lineRule="auto"/>
        <w:jc w:val="both"/>
        <w:rPr>
          <w:sz w:val="22"/>
          <w:szCs w:val="22"/>
        </w:rPr>
      </w:pPr>
      <w:r>
        <w:rPr>
          <w:sz w:val="22"/>
          <w:szCs w:val="22"/>
        </w:rPr>
        <w:t xml:space="preserve"> Fortalecimiento institucional para un gobierno confiable: Aumento notable (+54,2%). Debido principalmente a la asignación de recursos para la renovación de la sede física del IDU.</w:t>
      </w:r>
    </w:p>
    <w:p w:rsidR="00743DA6" w:rsidRDefault="00D95D19">
      <w:pPr>
        <w:spacing w:before="240" w:after="240" w:line="276" w:lineRule="auto"/>
        <w:jc w:val="both"/>
        <w:rPr>
          <w:sz w:val="22"/>
          <w:szCs w:val="22"/>
        </w:rPr>
      </w:pPr>
      <w:r>
        <w:rPr>
          <w:sz w:val="22"/>
          <w:szCs w:val="22"/>
        </w:rPr>
        <w:t xml:space="preserve">Ese total se distritbuye en los siguientes proyectos de inversión: </w:t>
      </w:r>
    </w:p>
    <w:p w:rsidR="00743DA6" w:rsidRDefault="00D95D19">
      <w:pPr>
        <w:numPr>
          <w:ilvl w:val="0"/>
          <w:numId w:val="46"/>
        </w:numPr>
        <w:spacing w:before="240" w:line="276" w:lineRule="auto"/>
        <w:jc w:val="both"/>
        <w:rPr>
          <w:sz w:val="22"/>
          <w:szCs w:val="22"/>
        </w:rPr>
      </w:pPr>
      <w:r>
        <w:rPr>
          <w:sz w:val="22"/>
          <w:szCs w:val="22"/>
        </w:rPr>
        <w:t>$1,468 billones en “Consolidación de infraestructura vial y ciclo-infraestructura” (que es el gran bloque de obras). En donde observamos que se prioriza el norte de la ciudad (Usaquén, Suba, Barrios Unidos) y el centro ampliado (Chapinero, Teusaquillo y Puente Aranda).</w:t>
      </w:r>
    </w:p>
    <w:p w:rsidR="00743DA6" w:rsidRDefault="00D95D19">
      <w:pPr>
        <w:numPr>
          <w:ilvl w:val="0"/>
          <w:numId w:val="46"/>
        </w:numPr>
        <w:spacing w:line="276" w:lineRule="auto"/>
        <w:jc w:val="both"/>
        <w:rPr>
          <w:sz w:val="22"/>
          <w:szCs w:val="22"/>
        </w:rPr>
      </w:pPr>
      <w:r>
        <w:rPr>
          <w:sz w:val="22"/>
          <w:szCs w:val="22"/>
        </w:rPr>
        <w:t>$323,3 mil millones en “Prestación de servicios de transporte público de pasajeros” (infraestructura para el sistema Transmilenio)</w:t>
      </w:r>
    </w:p>
    <w:p w:rsidR="00743DA6" w:rsidRDefault="00D95D19">
      <w:pPr>
        <w:numPr>
          <w:ilvl w:val="0"/>
          <w:numId w:val="46"/>
        </w:numPr>
        <w:spacing w:line="276" w:lineRule="auto"/>
        <w:jc w:val="both"/>
        <w:rPr>
          <w:sz w:val="22"/>
          <w:szCs w:val="22"/>
        </w:rPr>
      </w:pPr>
      <w:r>
        <w:rPr>
          <w:sz w:val="22"/>
          <w:szCs w:val="22"/>
        </w:rPr>
        <w:t>$325,5 mil millones en “Gobierno Territorial / Fortalecimiento del Modelo de Operación Institucional” (funcionamiento robusto, sede, capacidad de gestión) y</w:t>
      </w:r>
    </w:p>
    <w:p w:rsidR="00743DA6" w:rsidRDefault="00D95D19">
      <w:pPr>
        <w:numPr>
          <w:ilvl w:val="0"/>
          <w:numId w:val="46"/>
        </w:numPr>
        <w:spacing w:after="240" w:line="276" w:lineRule="auto"/>
        <w:jc w:val="both"/>
        <w:rPr>
          <w:sz w:val="22"/>
          <w:szCs w:val="22"/>
        </w:rPr>
      </w:pPr>
      <w:r>
        <w:rPr>
          <w:sz w:val="22"/>
          <w:szCs w:val="22"/>
        </w:rPr>
        <w:t xml:space="preserve">$398,7 mil millones en transferencias de capital. </w:t>
      </w:r>
    </w:p>
    <w:p w:rsidR="00743DA6" w:rsidRDefault="00D95D19">
      <w:pPr>
        <w:spacing w:before="240" w:after="240" w:line="276" w:lineRule="auto"/>
        <w:jc w:val="both"/>
        <w:rPr>
          <w:sz w:val="22"/>
          <w:szCs w:val="22"/>
        </w:rPr>
      </w:pPr>
      <w:r>
        <w:rPr>
          <w:sz w:val="22"/>
          <w:szCs w:val="22"/>
        </w:rPr>
        <w:t>En conjunto, el total</w:t>
      </w:r>
      <w:r>
        <w:rPr>
          <w:sz w:val="22"/>
          <w:szCs w:val="22"/>
          <w:highlight w:val="white"/>
        </w:rPr>
        <w:t xml:space="preserve"> baja 9,65% </w:t>
      </w:r>
      <w:r>
        <w:rPr>
          <w:sz w:val="22"/>
          <w:szCs w:val="22"/>
        </w:rPr>
        <w:t>frente al vigente a septiembre de 2025. El IDU no está pidiendo “expansión presupuestal”; está reordenando el gasto dentro de un total menor.</w:t>
      </w:r>
    </w:p>
    <w:p w:rsidR="00743DA6" w:rsidRDefault="00D95D19">
      <w:pPr>
        <w:spacing w:after="200" w:line="276" w:lineRule="auto"/>
        <w:jc w:val="both"/>
        <w:rPr>
          <w:b/>
          <w:bCs/>
          <w:sz w:val="22"/>
          <w:szCs w:val="22"/>
        </w:rPr>
      </w:pPr>
      <w:r>
        <w:rPr>
          <w:b/>
          <w:bCs/>
          <w:sz w:val="22"/>
          <w:szCs w:val="22"/>
        </w:rPr>
        <w:t>Obras a entregar en 2026:</w:t>
      </w:r>
    </w:p>
    <w:p w:rsidR="00743DA6" w:rsidRDefault="00D95D19">
      <w:pPr>
        <w:spacing w:after="200" w:line="276" w:lineRule="auto"/>
        <w:jc w:val="both"/>
        <w:rPr>
          <w:sz w:val="22"/>
          <w:szCs w:val="22"/>
        </w:rPr>
      </w:pPr>
      <w:r>
        <w:rPr>
          <w:sz w:val="22"/>
          <w:szCs w:val="22"/>
        </w:rPr>
        <w:t xml:space="preserve">De acuerdo a la información suministrada por el IDU en los anexos al P.A. 1004 de 2026: </w:t>
      </w:r>
    </w:p>
    <w:p w:rsidR="00743DA6" w:rsidRDefault="00D95D19">
      <w:pPr>
        <w:spacing w:after="200" w:line="276" w:lineRule="auto"/>
        <w:jc w:val="both"/>
        <w:rPr>
          <w:sz w:val="22"/>
          <w:szCs w:val="22"/>
        </w:rPr>
      </w:pPr>
      <w:r>
        <w:rPr>
          <w:sz w:val="22"/>
          <w:szCs w:val="22"/>
        </w:rPr>
        <w:br/>
        <w:t>- Corredor Ambiental Canal Córdoba</w:t>
      </w:r>
      <w:r>
        <w:rPr>
          <w:sz w:val="22"/>
          <w:szCs w:val="22"/>
        </w:rPr>
        <w:br/>
        <w:t>- Av. Boyacá (Calles 170–183)</w:t>
      </w:r>
      <w:r>
        <w:rPr>
          <w:sz w:val="22"/>
          <w:szCs w:val="22"/>
        </w:rPr>
        <w:br/>
        <w:t>- Av. Sirena (Calle 153)</w:t>
      </w:r>
      <w:r>
        <w:rPr>
          <w:sz w:val="22"/>
          <w:szCs w:val="22"/>
        </w:rPr>
        <w:br/>
        <w:t>- Aceras y ciclorrutas de la Autopista Norte</w:t>
      </w:r>
      <w:r>
        <w:rPr>
          <w:sz w:val="22"/>
          <w:szCs w:val="22"/>
        </w:rPr>
        <w:br/>
        <w:t>- Intersección Av. El Rincón × Av. Boyacá</w:t>
      </w:r>
      <w:r>
        <w:rPr>
          <w:sz w:val="22"/>
          <w:szCs w:val="22"/>
        </w:rPr>
        <w:br/>
      </w:r>
      <w:r>
        <w:rPr>
          <w:sz w:val="22"/>
          <w:szCs w:val="22"/>
        </w:rPr>
        <w:br/>
      </w:r>
      <w:r>
        <w:rPr>
          <w:b/>
          <w:bCs/>
          <w:sz w:val="22"/>
          <w:szCs w:val="22"/>
        </w:rPr>
        <w:t>Proyectos en estructuración:</w:t>
      </w:r>
      <w:r>
        <w:rPr>
          <w:sz w:val="22"/>
          <w:szCs w:val="22"/>
        </w:rPr>
        <w:t xml:space="preserve"> </w:t>
      </w:r>
    </w:p>
    <w:p w:rsidR="00743DA6" w:rsidRDefault="00D95D19">
      <w:pPr>
        <w:spacing w:after="200" w:line="276" w:lineRule="auto"/>
        <w:jc w:val="both"/>
        <w:rPr>
          <w:sz w:val="22"/>
          <w:szCs w:val="22"/>
        </w:rPr>
      </w:pPr>
      <w:r>
        <w:rPr>
          <w:sz w:val="22"/>
          <w:szCs w:val="22"/>
        </w:rPr>
        <w:t xml:space="preserve">De acuerdo a la información suministrada por el IDU en los anexos al P.A. 1004 de 2026: </w:t>
      </w:r>
    </w:p>
    <w:p w:rsidR="00743DA6" w:rsidRDefault="00D95D19">
      <w:pPr>
        <w:spacing w:after="200" w:line="276" w:lineRule="auto"/>
        <w:jc w:val="both"/>
        <w:rPr>
          <w:sz w:val="22"/>
          <w:szCs w:val="22"/>
        </w:rPr>
      </w:pPr>
      <w:r>
        <w:rPr>
          <w:sz w:val="22"/>
          <w:szCs w:val="22"/>
        </w:rPr>
        <w:t xml:space="preserve">Av. Santa Bárbara–Contador, </w:t>
      </w:r>
    </w:p>
    <w:p w:rsidR="00743DA6" w:rsidRDefault="00D95D19">
      <w:pPr>
        <w:spacing w:after="200" w:line="276" w:lineRule="auto"/>
        <w:jc w:val="both"/>
        <w:rPr>
          <w:sz w:val="22"/>
          <w:szCs w:val="22"/>
        </w:rPr>
      </w:pPr>
      <w:r>
        <w:rPr>
          <w:sz w:val="22"/>
          <w:szCs w:val="22"/>
        </w:rPr>
        <w:t xml:space="preserve">Av. Ferrocarril × Av. Ciudad de Cali, </w:t>
      </w:r>
    </w:p>
    <w:p w:rsidR="00743DA6" w:rsidRDefault="00D95D19">
      <w:pPr>
        <w:spacing w:after="200" w:line="276" w:lineRule="auto"/>
        <w:jc w:val="both"/>
        <w:rPr>
          <w:b/>
          <w:bCs/>
          <w:sz w:val="22"/>
          <w:szCs w:val="22"/>
        </w:rPr>
      </w:pPr>
      <w:r>
        <w:rPr>
          <w:sz w:val="22"/>
          <w:szCs w:val="22"/>
        </w:rPr>
        <w:t>Av. Villas.</w:t>
      </w:r>
      <w:r>
        <w:rPr>
          <w:sz w:val="22"/>
          <w:szCs w:val="22"/>
        </w:rPr>
        <w:br/>
      </w:r>
    </w:p>
    <w:p w:rsidR="00743DA6" w:rsidRDefault="00D95D19">
      <w:pPr>
        <w:spacing w:after="200" w:line="276" w:lineRule="auto"/>
        <w:jc w:val="both"/>
        <w:rPr>
          <w:sz w:val="22"/>
          <w:szCs w:val="22"/>
        </w:rPr>
      </w:pPr>
      <w:r>
        <w:rPr>
          <w:b/>
          <w:bCs/>
          <w:sz w:val="22"/>
          <w:szCs w:val="22"/>
        </w:rPr>
        <w:t>Se suman obras regionales:</w:t>
      </w:r>
      <w:r>
        <w:rPr>
          <w:sz w:val="22"/>
          <w:szCs w:val="22"/>
        </w:rPr>
        <w:t xml:space="preserve"> </w:t>
      </w:r>
    </w:p>
    <w:p w:rsidR="00743DA6" w:rsidRDefault="00D95D19">
      <w:pPr>
        <w:spacing w:after="200" w:line="276" w:lineRule="auto"/>
        <w:jc w:val="both"/>
        <w:rPr>
          <w:sz w:val="22"/>
          <w:szCs w:val="22"/>
        </w:rPr>
      </w:pPr>
      <w:r>
        <w:rPr>
          <w:sz w:val="22"/>
          <w:szCs w:val="22"/>
        </w:rPr>
        <w:t xml:space="preserve">Av. Suba–Cota, </w:t>
      </w:r>
    </w:p>
    <w:p w:rsidR="00743DA6" w:rsidRDefault="00D95D19">
      <w:pPr>
        <w:spacing w:after="200" w:line="276" w:lineRule="auto"/>
        <w:jc w:val="both"/>
        <w:rPr>
          <w:sz w:val="22"/>
          <w:szCs w:val="22"/>
        </w:rPr>
      </w:pPr>
      <w:r>
        <w:rPr>
          <w:sz w:val="22"/>
          <w:szCs w:val="22"/>
        </w:rPr>
        <w:t xml:space="preserve">Puente Tibanica y </w:t>
      </w:r>
    </w:p>
    <w:p w:rsidR="00743DA6" w:rsidRDefault="00D95D19">
      <w:pPr>
        <w:spacing w:after="200" w:line="276" w:lineRule="auto"/>
        <w:jc w:val="both"/>
        <w:rPr>
          <w:sz w:val="22"/>
          <w:szCs w:val="22"/>
        </w:rPr>
      </w:pPr>
      <w:r>
        <w:rPr>
          <w:sz w:val="22"/>
          <w:szCs w:val="22"/>
        </w:rPr>
        <w:t>ALO Norte.</w:t>
      </w:r>
    </w:p>
    <w:p w:rsidR="00743DA6" w:rsidRDefault="00D95D19">
      <w:pPr>
        <w:spacing w:after="200" w:line="276" w:lineRule="auto"/>
        <w:jc w:val="both"/>
        <w:rPr>
          <w:sz w:val="22"/>
          <w:szCs w:val="22"/>
        </w:rPr>
      </w:pPr>
      <w:r>
        <w:rPr>
          <w:sz w:val="22"/>
          <w:szCs w:val="22"/>
        </w:rPr>
        <w:br/>
        <w:t>El IDU ejecutará $2,5 billones con 51 contratos y 350 frentes de obra.</w:t>
      </w:r>
    </w:p>
    <w:p w:rsidR="00743DA6" w:rsidRDefault="00D95D19">
      <w:pPr>
        <w:pStyle w:val="Ttulo1"/>
        <w:keepNext w:val="0"/>
        <w:spacing w:before="480" w:after="120" w:line="276" w:lineRule="auto"/>
        <w:jc w:val="both"/>
        <w:rPr>
          <w:rFonts w:ascii="Arial" w:eastAsia="Arial" w:hAnsi="Arial" w:cs="Arial"/>
          <w:b/>
          <w:bCs/>
          <w:sz w:val="22"/>
          <w:szCs w:val="22"/>
        </w:rPr>
      </w:pPr>
      <w:bookmarkStart w:id="28" w:name="_heading=h.eg1vpnbh2drv" w:colFirst="0" w:colLast="0"/>
      <w:bookmarkEnd w:id="28"/>
      <w:r>
        <w:rPr>
          <w:rFonts w:ascii="Arial" w:eastAsia="Arial" w:hAnsi="Arial" w:cs="Arial"/>
          <w:b/>
          <w:bCs/>
          <w:sz w:val="22"/>
          <w:szCs w:val="22"/>
        </w:rPr>
        <w:t>2) ¿Eso se justifica viendo la ejecución de 2024?</w:t>
      </w:r>
    </w:p>
    <w:p w:rsidR="00743DA6" w:rsidRDefault="00D95D19">
      <w:pPr>
        <w:spacing w:before="240" w:after="240" w:line="276" w:lineRule="auto"/>
        <w:jc w:val="both"/>
        <w:rPr>
          <w:sz w:val="22"/>
          <w:szCs w:val="22"/>
        </w:rPr>
      </w:pPr>
      <w:r>
        <w:rPr>
          <w:sz w:val="22"/>
          <w:szCs w:val="22"/>
        </w:rPr>
        <w:t>Con el Plan Metas y Resultados - PMR 2024, es posible evidenciar que la Malla Vial Arterial tuvo apropiación de $916,6 mil millones, compromisos por $664,2 mil millones y giros por $344,0 mil millones. Además, se ejecutaron 52,45 km-carril (arterial y local) en 2024, con frentes muy visibles en Av. Mutis, Av. El Rincón con Boyacá, Guayacanes, Carrera 9 (170–193), Av. Boyacá (170–193), Av. Sirena, Av. 1º de Mayo, y troncales 68, Ciudad de Cali y Caracas.</w:t>
      </w:r>
    </w:p>
    <w:p w:rsidR="00743DA6" w:rsidRDefault="00D95D19">
      <w:pPr>
        <w:spacing w:before="240" w:after="240" w:line="276" w:lineRule="auto"/>
        <w:jc w:val="both"/>
        <w:rPr>
          <w:sz w:val="22"/>
          <w:szCs w:val="22"/>
        </w:rPr>
      </w:pPr>
      <w:r>
        <w:rPr>
          <w:sz w:val="22"/>
          <w:szCs w:val="22"/>
        </w:rPr>
        <w:t xml:space="preserve">Implicación: 2024 mostró capacidad real de ejecución (obras en curso, giros efectuados y metas físicas cumplidas o sobrecumplidas). Por ejemplo, puentes vehiculares: se apropiaron $247,7 mil millones, con $121,6 mil millones comprometidos y $87,2 mil millones girados; se construyeron o reforzaron 8 puentes y se mantuvieron 20. </w:t>
      </w:r>
    </w:p>
    <w:p w:rsidR="00743DA6" w:rsidRDefault="00D95D19">
      <w:pPr>
        <w:spacing w:before="240" w:after="240" w:line="276" w:lineRule="auto"/>
        <w:jc w:val="both"/>
        <w:rPr>
          <w:sz w:val="22"/>
          <w:szCs w:val="22"/>
          <w:highlight w:val="white"/>
        </w:rPr>
      </w:pPr>
      <w:r>
        <w:rPr>
          <w:sz w:val="22"/>
          <w:szCs w:val="22"/>
          <w:highlight w:val="white"/>
        </w:rPr>
        <w:t>Que el total 2026 del IDU caiga 9,65% no parece obedecer a “incapacidad de ejecutar” durante 2024, sino a una recalibración: concentrar recursos en frentes que se pueden terminar o poner a operar, y contener otros (por ejemplo, conservación predial o espacio público no troncal).</w:t>
      </w:r>
    </w:p>
    <w:p w:rsidR="00743DA6" w:rsidRDefault="00D95D19">
      <w:pPr>
        <w:pStyle w:val="Ttulo1"/>
        <w:keepNext w:val="0"/>
        <w:spacing w:before="480" w:after="120" w:line="276" w:lineRule="auto"/>
        <w:jc w:val="both"/>
        <w:rPr>
          <w:rFonts w:ascii="Arial" w:eastAsia="Arial" w:hAnsi="Arial" w:cs="Arial"/>
          <w:b/>
          <w:bCs/>
          <w:sz w:val="22"/>
          <w:szCs w:val="22"/>
        </w:rPr>
      </w:pPr>
      <w:bookmarkStart w:id="29" w:name="_heading=h.84tdruvjiuqh" w:colFirst="0" w:colLast="0"/>
      <w:bookmarkEnd w:id="29"/>
      <w:r>
        <w:rPr>
          <w:rFonts w:ascii="Arial" w:eastAsia="Arial" w:hAnsi="Arial" w:cs="Arial"/>
          <w:b/>
          <w:bCs/>
          <w:sz w:val="22"/>
          <w:szCs w:val="22"/>
        </w:rPr>
        <w:t>3) Detalle de Actividades con mayor reducción</w:t>
      </w:r>
    </w:p>
    <w:p w:rsidR="00743DA6" w:rsidRDefault="00D95D19">
      <w:pPr>
        <w:spacing w:before="240" w:after="240" w:line="276" w:lineRule="auto"/>
        <w:jc w:val="both"/>
        <w:rPr>
          <w:sz w:val="22"/>
          <w:szCs w:val="22"/>
        </w:rPr>
      </w:pPr>
      <w:r>
        <w:rPr>
          <w:sz w:val="22"/>
          <w:szCs w:val="22"/>
        </w:rPr>
        <w:t>A continuación, se presentan las actividades específicas que sufrieron los recortes más drásticos en términos absolutos (ordenadas por mayor pérdida de recursos):</w:t>
      </w:r>
    </w:p>
    <w:p w:rsidR="00743DA6" w:rsidRDefault="00D95D19">
      <w:pPr>
        <w:numPr>
          <w:ilvl w:val="0"/>
          <w:numId w:val="51"/>
        </w:numPr>
        <w:spacing w:before="240" w:line="276" w:lineRule="auto"/>
        <w:jc w:val="both"/>
        <w:rPr>
          <w:sz w:val="22"/>
          <w:szCs w:val="22"/>
        </w:rPr>
      </w:pPr>
      <w:r>
        <w:rPr>
          <w:sz w:val="22"/>
          <w:szCs w:val="22"/>
        </w:rPr>
        <w:t>Pagar 100 % de compromisos de vigencias anteriores asociados a la construcción de espacio público</w:t>
      </w:r>
    </w:p>
    <w:p w:rsidR="00743DA6" w:rsidRDefault="00D95D19">
      <w:pPr>
        <w:numPr>
          <w:ilvl w:val="1"/>
          <w:numId w:val="51"/>
        </w:numPr>
        <w:spacing w:line="276" w:lineRule="auto"/>
        <w:jc w:val="both"/>
        <w:rPr>
          <w:sz w:val="22"/>
          <w:szCs w:val="22"/>
        </w:rPr>
      </w:pPr>
      <w:r>
        <w:rPr>
          <w:sz w:val="22"/>
          <w:szCs w:val="22"/>
        </w:rPr>
        <w:t>Reducción: -82.774,66 (Pasa de 160.803 a 78.028)</w:t>
      </w:r>
    </w:p>
    <w:p w:rsidR="00743DA6" w:rsidRDefault="00D95D19">
      <w:pPr>
        <w:numPr>
          <w:ilvl w:val="0"/>
          <w:numId w:val="51"/>
        </w:numPr>
        <w:spacing w:line="276" w:lineRule="auto"/>
        <w:jc w:val="both"/>
        <w:rPr>
          <w:sz w:val="22"/>
          <w:szCs w:val="22"/>
        </w:rPr>
      </w:pPr>
      <w:r>
        <w:rPr>
          <w:sz w:val="22"/>
          <w:szCs w:val="22"/>
        </w:rPr>
        <w:t>Construir 417460 Metro(s) cuadrado(s) de Espacio Público inclusivo y accesible</w:t>
      </w:r>
    </w:p>
    <w:p w:rsidR="00743DA6" w:rsidRDefault="00D95D19">
      <w:pPr>
        <w:numPr>
          <w:ilvl w:val="1"/>
          <w:numId w:val="51"/>
        </w:numPr>
        <w:spacing w:line="276" w:lineRule="auto"/>
        <w:jc w:val="both"/>
        <w:rPr>
          <w:sz w:val="22"/>
          <w:szCs w:val="22"/>
        </w:rPr>
      </w:pPr>
      <w:r>
        <w:rPr>
          <w:sz w:val="22"/>
          <w:szCs w:val="22"/>
        </w:rPr>
        <w:t>Reducción: -58.517,28 (Pasa de 80.956 a 22.439)</w:t>
      </w:r>
    </w:p>
    <w:p w:rsidR="00743DA6" w:rsidRDefault="00D95D19">
      <w:pPr>
        <w:numPr>
          <w:ilvl w:val="0"/>
          <w:numId w:val="51"/>
        </w:numPr>
        <w:spacing w:line="276" w:lineRule="auto"/>
        <w:jc w:val="both"/>
        <w:rPr>
          <w:sz w:val="22"/>
          <w:szCs w:val="22"/>
        </w:rPr>
      </w:pPr>
      <w:r>
        <w:rPr>
          <w:sz w:val="22"/>
          <w:szCs w:val="22"/>
        </w:rPr>
        <w:t>Conservar 1327,97 Kilómetro(s)-carril de malla vial arterial</w:t>
      </w:r>
    </w:p>
    <w:p w:rsidR="00743DA6" w:rsidRDefault="00D95D19">
      <w:pPr>
        <w:numPr>
          <w:ilvl w:val="1"/>
          <w:numId w:val="51"/>
        </w:numPr>
        <w:spacing w:line="276" w:lineRule="auto"/>
        <w:jc w:val="both"/>
        <w:rPr>
          <w:sz w:val="22"/>
          <w:szCs w:val="22"/>
        </w:rPr>
      </w:pPr>
      <w:r>
        <w:rPr>
          <w:sz w:val="22"/>
          <w:szCs w:val="22"/>
        </w:rPr>
        <w:t>Reducción: -55.861,51 (Pasa de 407.628 a 351.767)</w:t>
      </w:r>
    </w:p>
    <w:p w:rsidR="00743DA6" w:rsidRDefault="00D95D19">
      <w:pPr>
        <w:numPr>
          <w:ilvl w:val="0"/>
          <w:numId w:val="51"/>
        </w:numPr>
        <w:spacing w:line="276" w:lineRule="auto"/>
        <w:jc w:val="both"/>
        <w:rPr>
          <w:sz w:val="22"/>
          <w:szCs w:val="22"/>
        </w:rPr>
      </w:pPr>
      <w:r>
        <w:rPr>
          <w:sz w:val="22"/>
          <w:szCs w:val="22"/>
        </w:rPr>
        <w:t>Conservar 82,09 Kilómetro(s)-carril de malla vial intermedia</w:t>
      </w:r>
    </w:p>
    <w:p w:rsidR="00743DA6" w:rsidRDefault="00D95D19">
      <w:pPr>
        <w:numPr>
          <w:ilvl w:val="1"/>
          <w:numId w:val="51"/>
        </w:numPr>
        <w:spacing w:line="276" w:lineRule="auto"/>
        <w:jc w:val="both"/>
        <w:rPr>
          <w:sz w:val="22"/>
          <w:szCs w:val="22"/>
        </w:rPr>
      </w:pPr>
      <w:r>
        <w:rPr>
          <w:sz w:val="22"/>
          <w:szCs w:val="22"/>
        </w:rPr>
        <w:t>Reducción: -51.778,36 (Pasa de 173.620 a 121.842)</w:t>
      </w:r>
    </w:p>
    <w:p w:rsidR="00743DA6" w:rsidRDefault="00D95D19">
      <w:pPr>
        <w:numPr>
          <w:ilvl w:val="0"/>
          <w:numId w:val="51"/>
        </w:numPr>
        <w:spacing w:line="276" w:lineRule="auto"/>
        <w:jc w:val="both"/>
        <w:rPr>
          <w:sz w:val="22"/>
          <w:szCs w:val="22"/>
        </w:rPr>
      </w:pPr>
      <w:r>
        <w:rPr>
          <w:sz w:val="22"/>
          <w:szCs w:val="22"/>
        </w:rPr>
        <w:t>Gestionar 321 Predio(s) asociados a la meta de contratar malla vial en la ciudad</w:t>
      </w:r>
    </w:p>
    <w:p w:rsidR="00743DA6" w:rsidRDefault="00D95D19">
      <w:pPr>
        <w:numPr>
          <w:ilvl w:val="1"/>
          <w:numId w:val="51"/>
        </w:numPr>
        <w:spacing w:line="276" w:lineRule="auto"/>
        <w:jc w:val="both"/>
        <w:rPr>
          <w:sz w:val="22"/>
          <w:szCs w:val="22"/>
        </w:rPr>
      </w:pPr>
      <w:r>
        <w:rPr>
          <w:sz w:val="22"/>
          <w:szCs w:val="22"/>
        </w:rPr>
        <w:t>Reducción: -48.271,79 (Pasa de 58.762 a 10.490)</w:t>
      </w:r>
    </w:p>
    <w:p w:rsidR="00743DA6" w:rsidRDefault="00D95D19">
      <w:pPr>
        <w:numPr>
          <w:ilvl w:val="0"/>
          <w:numId w:val="51"/>
        </w:numPr>
        <w:spacing w:line="276" w:lineRule="auto"/>
        <w:jc w:val="both"/>
        <w:rPr>
          <w:sz w:val="22"/>
          <w:szCs w:val="22"/>
        </w:rPr>
      </w:pPr>
      <w:r>
        <w:rPr>
          <w:sz w:val="22"/>
          <w:szCs w:val="22"/>
        </w:rPr>
        <w:t>Desarrollar 1 Proyecto(s) de Desarrollo Urbanístico y/o Proyecto de Renovación Urbana para la Movilidad Sostenible (PRUMS)...</w:t>
      </w:r>
    </w:p>
    <w:p w:rsidR="00743DA6" w:rsidRDefault="00D95D19">
      <w:pPr>
        <w:numPr>
          <w:ilvl w:val="1"/>
          <w:numId w:val="51"/>
        </w:numPr>
        <w:spacing w:line="276" w:lineRule="auto"/>
        <w:jc w:val="both"/>
        <w:rPr>
          <w:sz w:val="22"/>
          <w:szCs w:val="22"/>
        </w:rPr>
      </w:pPr>
      <w:r>
        <w:rPr>
          <w:sz w:val="22"/>
          <w:szCs w:val="22"/>
        </w:rPr>
        <w:t>Reducción: -47.323,11 (Pasa de 47.323 a 0)</w:t>
      </w:r>
    </w:p>
    <w:p w:rsidR="00743DA6" w:rsidRDefault="00D95D19">
      <w:pPr>
        <w:numPr>
          <w:ilvl w:val="0"/>
          <w:numId w:val="51"/>
        </w:numPr>
        <w:spacing w:line="276" w:lineRule="auto"/>
        <w:jc w:val="both"/>
        <w:rPr>
          <w:sz w:val="22"/>
          <w:szCs w:val="22"/>
        </w:rPr>
      </w:pPr>
      <w:r>
        <w:rPr>
          <w:sz w:val="22"/>
          <w:szCs w:val="22"/>
        </w:rPr>
        <w:t>Construir 9000 Metro(s) cuadrado(s) de espacio público asociado a Regiotram</w:t>
      </w:r>
    </w:p>
    <w:p w:rsidR="00743DA6" w:rsidRDefault="00D95D19">
      <w:pPr>
        <w:numPr>
          <w:ilvl w:val="1"/>
          <w:numId w:val="51"/>
        </w:numPr>
        <w:spacing w:line="276" w:lineRule="auto"/>
        <w:jc w:val="both"/>
        <w:rPr>
          <w:sz w:val="22"/>
          <w:szCs w:val="22"/>
        </w:rPr>
      </w:pPr>
      <w:r>
        <w:rPr>
          <w:sz w:val="22"/>
          <w:szCs w:val="22"/>
        </w:rPr>
        <w:t>Reducción: -42.239,93 (Pasa de 42.239 a 0)</w:t>
      </w:r>
    </w:p>
    <w:p w:rsidR="00743DA6" w:rsidRDefault="00D95D19">
      <w:pPr>
        <w:numPr>
          <w:ilvl w:val="0"/>
          <w:numId w:val="51"/>
        </w:numPr>
        <w:spacing w:line="276" w:lineRule="auto"/>
        <w:jc w:val="both"/>
        <w:rPr>
          <w:sz w:val="22"/>
          <w:szCs w:val="22"/>
        </w:rPr>
      </w:pPr>
      <w:r>
        <w:rPr>
          <w:sz w:val="22"/>
          <w:szCs w:val="22"/>
        </w:rPr>
        <w:t>Conservar 1060 Kilómetro(s) de elementos segregadores</w:t>
      </w:r>
    </w:p>
    <w:p w:rsidR="00743DA6" w:rsidRDefault="00D95D19">
      <w:pPr>
        <w:numPr>
          <w:ilvl w:val="1"/>
          <w:numId w:val="51"/>
        </w:numPr>
        <w:spacing w:line="276" w:lineRule="auto"/>
        <w:jc w:val="both"/>
        <w:rPr>
          <w:sz w:val="22"/>
          <w:szCs w:val="22"/>
        </w:rPr>
      </w:pPr>
      <w:r>
        <w:rPr>
          <w:sz w:val="22"/>
          <w:szCs w:val="22"/>
        </w:rPr>
        <w:t>Reducción: -30.603,75 (Pasa de 40.603 a 10.000)</w:t>
      </w:r>
    </w:p>
    <w:p w:rsidR="00743DA6" w:rsidRDefault="00D95D19">
      <w:pPr>
        <w:numPr>
          <w:ilvl w:val="0"/>
          <w:numId w:val="51"/>
        </w:numPr>
        <w:spacing w:line="276" w:lineRule="auto"/>
        <w:jc w:val="both"/>
        <w:rPr>
          <w:sz w:val="22"/>
          <w:szCs w:val="22"/>
        </w:rPr>
      </w:pPr>
      <w:r>
        <w:rPr>
          <w:sz w:val="22"/>
          <w:szCs w:val="22"/>
        </w:rPr>
        <w:t>Construir y/o reforzar 16 Enlace(s) en la ciudad</w:t>
      </w:r>
    </w:p>
    <w:p w:rsidR="00743DA6" w:rsidRDefault="00D95D19">
      <w:pPr>
        <w:numPr>
          <w:ilvl w:val="1"/>
          <w:numId w:val="51"/>
        </w:numPr>
        <w:spacing w:line="276" w:lineRule="auto"/>
        <w:jc w:val="both"/>
        <w:rPr>
          <w:sz w:val="22"/>
          <w:szCs w:val="22"/>
        </w:rPr>
      </w:pPr>
      <w:r>
        <w:rPr>
          <w:sz w:val="22"/>
          <w:szCs w:val="22"/>
        </w:rPr>
        <w:t>Reducción: -28.188,25 (Pasa de 112.837 a 84.649)</w:t>
      </w:r>
    </w:p>
    <w:p w:rsidR="00743DA6" w:rsidRDefault="00D95D19">
      <w:pPr>
        <w:numPr>
          <w:ilvl w:val="0"/>
          <w:numId w:val="51"/>
        </w:numPr>
        <w:spacing w:line="276" w:lineRule="auto"/>
        <w:jc w:val="both"/>
        <w:rPr>
          <w:sz w:val="22"/>
          <w:szCs w:val="22"/>
        </w:rPr>
      </w:pPr>
      <w:r>
        <w:rPr>
          <w:sz w:val="22"/>
          <w:szCs w:val="22"/>
        </w:rPr>
        <w:t>Pagar 100 Porciento los compromisos de vigencias anteriores asociados a Cables</w:t>
      </w:r>
    </w:p>
    <w:p w:rsidR="00743DA6" w:rsidRDefault="00D95D19">
      <w:pPr>
        <w:numPr>
          <w:ilvl w:val="1"/>
          <w:numId w:val="51"/>
        </w:numPr>
        <w:spacing w:after="240" w:line="276" w:lineRule="auto"/>
        <w:jc w:val="both"/>
        <w:rPr>
          <w:sz w:val="22"/>
          <w:szCs w:val="22"/>
        </w:rPr>
      </w:pPr>
      <w:r>
        <w:rPr>
          <w:sz w:val="22"/>
          <w:szCs w:val="22"/>
        </w:rPr>
        <w:t>Reducción: -26.583,66 (Pasa de 121.585 a 95.001)</w:t>
      </w:r>
    </w:p>
    <w:p w:rsidR="00743DA6" w:rsidRDefault="00D95D19">
      <w:pPr>
        <w:pStyle w:val="Ttulo3"/>
        <w:keepNext w:val="0"/>
        <w:keepLines w:val="0"/>
        <w:spacing w:before="280" w:after="80" w:line="276" w:lineRule="auto"/>
        <w:jc w:val="both"/>
        <w:rPr>
          <w:rFonts w:ascii="Arial" w:eastAsia="Arial" w:hAnsi="Arial" w:cs="Arial"/>
          <w:b/>
          <w:bCs/>
          <w:color w:val="000000"/>
          <w:sz w:val="22"/>
          <w:szCs w:val="22"/>
        </w:rPr>
      </w:pPr>
      <w:bookmarkStart w:id="30" w:name="_heading=h.jbwep7vimxe0" w:colFirst="0" w:colLast="0"/>
      <w:bookmarkEnd w:id="30"/>
      <w:r>
        <w:rPr>
          <w:rFonts w:ascii="Arial" w:eastAsia="Arial" w:hAnsi="Arial" w:cs="Arial"/>
          <w:b/>
          <w:bCs/>
          <w:color w:val="000000"/>
          <w:sz w:val="22"/>
          <w:szCs w:val="22"/>
        </w:rPr>
        <w:t>4) Detalle de Actividades con mayor aumento</w:t>
      </w:r>
    </w:p>
    <w:p w:rsidR="00743DA6" w:rsidRDefault="00D95D19">
      <w:pPr>
        <w:spacing w:before="240" w:after="240" w:line="276" w:lineRule="auto"/>
        <w:jc w:val="both"/>
        <w:rPr>
          <w:sz w:val="22"/>
          <w:szCs w:val="22"/>
        </w:rPr>
      </w:pPr>
      <w:r>
        <w:rPr>
          <w:sz w:val="22"/>
          <w:szCs w:val="22"/>
        </w:rPr>
        <w:t>Estas actividades recibieron una inyección adicional de recursos para 2026 (ordenadas por mayor ganancia):</w:t>
      </w:r>
    </w:p>
    <w:p w:rsidR="00743DA6" w:rsidRDefault="00D95D19">
      <w:pPr>
        <w:numPr>
          <w:ilvl w:val="0"/>
          <w:numId w:val="17"/>
        </w:numPr>
        <w:spacing w:before="240" w:line="276" w:lineRule="auto"/>
        <w:jc w:val="both"/>
        <w:rPr>
          <w:sz w:val="22"/>
          <w:szCs w:val="22"/>
        </w:rPr>
      </w:pPr>
      <w:r>
        <w:rPr>
          <w:sz w:val="22"/>
          <w:szCs w:val="22"/>
        </w:rPr>
        <w:t>Gestionar 100 Porciento de las acciones necesarias para disponer de un espacio físico renovado y sostenible que cuente con las condiciones mínimas requeridas para el adecuado funcionamiento de la operación del Instituto de Desarrollo Urbano</w:t>
      </w:r>
    </w:p>
    <w:p w:rsidR="00743DA6" w:rsidRDefault="00D95D19">
      <w:pPr>
        <w:numPr>
          <w:ilvl w:val="1"/>
          <w:numId w:val="17"/>
        </w:numPr>
        <w:spacing w:line="276" w:lineRule="auto"/>
        <w:jc w:val="both"/>
        <w:rPr>
          <w:sz w:val="22"/>
          <w:szCs w:val="22"/>
        </w:rPr>
      </w:pPr>
      <w:r>
        <w:rPr>
          <w:sz w:val="22"/>
          <w:szCs w:val="22"/>
        </w:rPr>
        <w:t>Aumento: +115.074,23 (Pasa de 0 a 115.074)</w:t>
      </w:r>
    </w:p>
    <w:p w:rsidR="00743DA6" w:rsidRDefault="00D95D19">
      <w:pPr>
        <w:numPr>
          <w:ilvl w:val="1"/>
          <w:numId w:val="17"/>
        </w:numPr>
        <w:spacing w:line="276" w:lineRule="auto"/>
        <w:jc w:val="both"/>
        <w:rPr>
          <w:sz w:val="22"/>
          <w:szCs w:val="22"/>
        </w:rPr>
      </w:pPr>
      <w:r>
        <w:rPr>
          <w:i/>
          <w:iCs/>
          <w:sz w:val="22"/>
          <w:szCs w:val="22"/>
        </w:rPr>
        <w:t>Nota:</w:t>
      </w:r>
      <w:r>
        <w:rPr>
          <w:sz w:val="22"/>
          <w:szCs w:val="22"/>
        </w:rPr>
        <w:t xml:space="preserve"> Esta es la actividad nueva más grande del presupuesto 2026.</w:t>
      </w:r>
    </w:p>
    <w:p w:rsidR="00743DA6" w:rsidRDefault="00D95D19">
      <w:pPr>
        <w:numPr>
          <w:ilvl w:val="0"/>
          <w:numId w:val="17"/>
        </w:numPr>
        <w:spacing w:line="276" w:lineRule="auto"/>
        <w:jc w:val="both"/>
        <w:rPr>
          <w:sz w:val="22"/>
          <w:szCs w:val="22"/>
        </w:rPr>
      </w:pPr>
      <w:r>
        <w:rPr>
          <w:sz w:val="22"/>
          <w:szCs w:val="22"/>
        </w:rPr>
        <w:t>Poner en Operación 29 Kilómetro(s) de malla vial troncal</w:t>
      </w:r>
    </w:p>
    <w:p w:rsidR="00743DA6" w:rsidRDefault="00D95D19">
      <w:pPr>
        <w:numPr>
          <w:ilvl w:val="1"/>
          <w:numId w:val="17"/>
        </w:numPr>
        <w:spacing w:line="276" w:lineRule="auto"/>
        <w:jc w:val="both"/>
        <w:rPr>
          <w:sz w:val="22"/>
          <w:szCs w:val="22"/>
        </w:rPr>
      </w:pPr>
      <w:r>
        <w:rPr>
          <w:sz w:val="22"/>
          <w:szCs w:val="22"/>
        </w:rPr>
        <w:t>Aumento: +78.050,11 (Pasa de 47.632 a 125.682)</w:t>
      </w:r>
    </w:p>
    <w:p w:rsidR="00743DA6" w:rsidRDefault="00D95D19">
      <w:pPr>
        <w:numPr>
          <w:ilvl w:val="0"/>
          <w:numId w:val="17"/>
        </w:numPr>
        <w:spacing w:line="276" w:lineRule="auto"/>
        <w:jc w:val="both"/>
        <w:rPr>
          <w:sz w:val="22"/>
          <w:szCs w:val="22"/>
        </w:rPr>
      </w:pPr>
      <w:r>
        <w:rPr>
          <w:sz w:val="22"/>
          <w:szCs w:val="22"/>
        </w:rPr>
        <w:t>Contratar 50 Kilómetro(s)-carril de malla vial de la ciudad</w:t>
      </w:r>
    </w:p>
    <w:p w:rsidR="00743DA6" w:rsidRDefault="00D95D19">
      <w:pPr>
        <w:numPr>
          <w:ilvl w:val="1"/>
          <w:numId w:val="17"/>
        </w:numPr>
        <w:spacing w:line="276" w:lineRule="auto"/>
        <w:jc w:val="both"/>
        <w:rPr>
          <w:sz w:val="22"/>
          <w:szCs w:val="22"/>
        </w:rPr>
      </w:pPr>
      <w:r>
        <w:rPr>
          <w:sz w:val="22"/>
          <w:szCs w:val="22"/>
        </w:rPr>
        <w:t>Aumento: +77.786,25 (Pasa de 35.918 a 113.704)</w:t>
      </w:r>
    </w:p>
    <w:p w:rsidR="00743DA6" w:rsidRDefault="00D95D19">
      <w:pPr>
        <w:numPr>
          <w:ilvl w:val="0"/>
          <w:numId w:val="17"/>
        </w:numPr>
        <w:spacing w:line="276" w:lineRule="auto"/>
        <w:jc w:val="both"/>
        <w:rPr>
          <w:sz w:val="22"/>
          <w:szCs w:val="22"/>
        </w:rPr>
      </w:pPr>
      <w:r>
        <w:rPr>
          <w:sz w:val="22"/>
          <w:szCs w:val="22"/>
        </w:rPr>
        <w:t>Conservar 30 Enlace(s) vehiculares asociados a los enlaces vehiculares</w:t>
      </w:r>
    </w:p>
    <w:p w:rsidR="00743DA6" w:rsidRDefault="00D95D19">
      <w:pPr>
        <w:numPr>
          <w:ilvl w:val="1"/>
          <w:numId w:val="17"/>
        </w:numPr>
        <w:spacing w:line="276" w:lineRule="auto"/>
        <w:jc w:val="both"/>
        <w:rPr>
          <w:sz w:val="22"/>
          <w:szCs w:val="22"/>
        </w:rPr>
      </w:pPr>
      <w:r>
        <w:rPr>
          <w:sz w:val="22"/>
          <w:szCs w:val="22"/>
        </w:rPr>
        <w:t>Aumento: +24.623,13 (Pasa de 41.711 a 66.334)</w:t>
      </w:r>
    </w:p>
    <w:p w:rsidR="00743DA6" w:rsidRDefault="00D95D19">
      <w:pPr>
        <w:numPr>
          <w:ilvl w:val="0"/>
          <w:numId w:val="17"/>
        </w:numPr>
        <w:spacing w:line="276" w:lineRule="auto"/>
        <w:jc w:val="both"/>
        <w:rPr>
          <w:sz w:val="22"/>
          <w:szCs w:val="22"/>
        </w:rPr>
      </w:pPr>
      <w:r>
        <w:rPr>
          <w:sz w:val="22"/>
          <w:szCs w:val="22"/>
        </w:rPr>
        <w:t>Conservar 74,85 Kilómetro(s)-carril de malla vial rural</w:t>
      </w:r>
    </w:p>
    <w:p w:rsidR="00743DA6" w:rsidRDefault="00D95D19">
      <w:pPr>
        <w:numPr>
          <w:ilvl w:val="1"/>
          <w:numId w:val="17"/>
        </w:numPr>
        <w:spacing w:line="276" w:lineRule="auto"/>
        <w:jc w:val="both"/>
        <w:rPr>
          <w:sz w:val="22"/>
          <w:szCs w:val="22"/>
        </w:rPr>
      </w:pPr>
      <w:r>
        <w:rPr>
          <w:sz w:val="22"/>
          <w:szCs w:val="22"/>
        </w:rPr>
        <w:t>Aumento: +17.894,07 (Pasa de 39.189 a 57.083)</w:t>
      </w:r>
    </w:p>
    <w:p w:rsidR="00743DA6" w:rsidRDefault="00D95D19">
      <w:pPr>
        <w:numPr>
          <w:ilvl w:val="0"/>
          <w:numId w:val="17"/>
        </w:numPr>
        <w:spacing w:line="276" w:lineRule="auto"/>
        <w:jc w:val="both"/>
        <w:rPr>
          <w:sz w:val="22"/>
          <w:szCs w:val="22"/>
        </w:rPr>
      </w:pPr>
      <w:r>
        <w:rPr>
          <w:sz w:val="22"/>
          <w:szCs w:val="22"/>
        </w:rPr>
        <w:t>Pagar 100 Porciento los compromisos de vigencias anteriores asociados a Troncales</w:t>
      </w:r>
    </w:p>
    <w:p w:rsidR="00743DA6" w:rsidRDefault="00D95D19">
      <w:pPr>
        <w:numPr>
          <w:ilvl w:val="1"/>
          <w:numId w:val="17"/>
        </w:numPr>
        <w:spacing w:line="276" w:lineRule="auto"/>
        <w:jc w:val="both"/>
        <w:rPr>
          <w:sz w:val="22"/>
          <w:szCs w:val="22"/>
        </w:rPr>
      </w:pPr>
      <w:r>
        <w:rPr>
          <w:sz w:val="22"/>
          <w:szCs w:val="22"/>
        </w:rPr>
        <w:t>Aumento: +16.560,43 (Pasa de 2.444 a 19.004)</w:t>
      </w:r>
    </w:p>
    <w:p w:rsidR="00743DA6" w:rsidRDefault="00D95D19">
      <w:pPr>
        <w:numPr>
          <w:ilvl w:val="0"/>
          <w:numId w:val="17"/>
        </w:numPr>
        <w:spacing w:line="276" w:lineRule="auto"/>
        <w:jc w:val="both"/>
        <w:rPr>
          <w:sz w:val="22"/>
          <w:szCs w:val="22"/>
        </w:rPr>
      </w:pPr>
      <w:r>
        <w:rPr>
          <w:sz w:val="22"/>
          <w:szCs w:val="22"/>
        </w:rPr>
        <w:t>Gestionar el 100 Porciento de las necesidades de personal de prestación de servicios de las dependencias del IDU</w:t>
      </w:r>
    </w:p>
    <w:p w:rsidR="00743DA6" w:rsidRDefault="00D95D19">
      <w:pPr>
        <w:numPr>
          <w:ilvl w:val="1"/>
          <w:numId w:val="17"/>
        </w:numPr>
        <w:spacing w:line="276" w:lineRule="auto"/>
        <w:jc w:val="both"/>
        <w:rPr>
          <w:sz w:val="22"/>
          <w:szCs w:val="22"/>
        </w:rPr>
      </w:pPr>
      <w:r>
        <w:rPr>
          <w:sz w:val="22"/>
          <w:szCs w:val="22"/>
        </w:rPr>
        <w:t>Aumento: +14.536,62 (Pasa de 119.738 a 134.275)</w:t>
      </w:r>
    </w:p>
    <w:p w:rsidR="00743DA6" w:rsidRDefault="00D95D19">
      <w:pPr>
        <w:numPr>
          <w:ilvl w:val="0"/>
          <w:numId w:val="17"/>
        </w:numPr>
        <w:spacing w:line="276" w:lineRule="auto"/>
        <w:jc w:val="both"/>
        <w:rPr>
          <w:sz w:val="22"/>
          <w:szCs w:val="22"/>
        </w:rPr>
      </w:pPr>
      <w:r>
        <w:rPr>
          <w:sz w:val="22"/>
          <w:szCs w:val="22"/>
        </w:rPr>
        <w:t>Construir 1 Puente(s) vehicular</w:t>
      </w:r>
    </w:p>
    <w:p w:rsidR="00743DA6" w:rsidRDefault="00D95D19">
      <w:pPr>
        <w:numPr>
          <w:ilvl w:val="1"/>
          <w:numId w:val="17"/>
        </w:numPr>
        <w:spacing w:after="240" w:line="276" w:lineRule="auto"/>
        <w:jc w:val="both"/>
        <w:rPr>
          <w:sz w:val="22"/>
          <w:szCs w:val="22"/>
        </w:rPr>
      </w:pPr>
      <w:r>
        <w:rPr>
          <w:sz w:val="22"/>
          <w:szCs w:val="22"/>
        </w:rPr>
        <w:t>Aumento: +6.305,86 (Pasa de 41.601 a 47.907)</w:t>
      </w:r>
    </w:p>
    <w:p w:rsidR="00743DA6" w:rsidRDefault="00D95D19">
      <w:pPr>
        <w:pStyle w:val="Ttulo1"/>
        <w:keepNext w:val="0"/>
        <w:spacing w:before="480" w:after="120" w:line="276" w:lineRule="auto"/>
        <w:jc w:val="both"/>
        <w:rPr>
          <w:rFonts w:ascii="Arial" w:eastAsia="Arial" w:hAnsi="Arial" w:cs="Arial"/>
          <w:b/>
          <w:bCs/>
          <w:sz w:val="22"/>
          <w:szCs w:val="22"/>
        </w:rPr>
      </w:pPr>
      <w:bookmarkStart w:id="31" w:name="_heading=h.oejhqkp2x757" w:colFirst="0" w:colLast="0"/>
      <w:bookmarkEnd w:id="31"/>
      <w:r>
        <w:rPr>
          <w:rFonts w:ascii="Arial" w:eastAsia="Arial" w:hAnsi="Arial" w:cs="Arial"/>
          <w:b/>
          <w:bCs/>
          <w:sz w:val="22"/>
          <w:szCs w:val="22"/>
        </w:rPr>
        <w:t>5) ¿Dónde están los proyectos y qué territorios se priorizan?</w:t>
      </w:r>
    </w:p>
    <w:p w:rsidR="00743DA6" w:rsidRDefault="00D95D19">
      <w:pPr>
        <w:spacing w:before="240" w:after="240" w:line="276" w:lineRule="auto"/>
        <w:jc w:val="both"/>
        <w:rPr>
          <w:sz w:val="22"/>
          <w:szCs w:val="22"/>
        </w:rPr>
      </w:pPr>
      <w:r>
        <w:rPr>
          <w:sz w:val="22"/>
          <w:szCs w:val="22"/>
        </w:rPr>
        <w:t>El PMR 2024 deja ver un patrón de localización de obra que sí tiene un sesgo norte-noroccidente-centro (Suba/Usaquén/Chapinero/Engativá,Barrios Unidos, Teusaquillo y Puente Aranda) en varios rubros (malla arterial, puentes, andenes), mezclado con algunas intervenciones relevantes en suroccidente (Kennedy/Fontibón) y algunos tramos del sur (Villavicencio, 1° de Mayo). En 2024 se listan tramos como Calle 167, 174, 134, 129, Auto Norte, Boyacá, 9ª, Sirena, Park Way, etc. Esto corrobora deja en evidencia el modelo la destinación presupuestal para un modelo de ciudad que prioriza el norte sobre el sur, pues muchas entregas están en esta parte de la ciudad, y hacia el sur y suroccidente aparecen más acciones de mantenimiento/conservación que de nueva infraestructura estructural.</w:t>
      </w:r>
    </w:p>
    <w:p w:rsidR="00743DA6" w:rsidRDefault="00D95D19">
      <w:pPr>
        <w:spacing w:before="240" w:after="240" w:line="276" w:lineRule="auto"/>
        <w:jc w:val="both"/>
        <w:rPr>
          <w:sz w:val="22"/>
          <w:szCs w:val="22"/>
        </w:rPr>
      </w:pPr>
      <w:r>
        <w:rPr>
          <w:b/>
          <w:bCs/>
          <w:sz w:val="22"/>
          <w:szCs w:val="22"/>
        </w:rPr>
        <w:t>Implicación para 2026</w:t>
      </w:r>
    </w:p>
    <w:p w:rsidR="00743DA6" w:rsidRDefault="00D95D19">
      <w:pPr>
        <w:spacing w:before="240" w:after="240" w:line="276" w:lineRule="auto"/>
        <w:jc w:val="both"/>
        <w:rPr>
          <w:sz w:val="22"/>
          <w:szCs w:val="22"/>
        </w:rPr>
      </w:pPr>
      <w:r>
        <w:rPr>
          <w:sz w:val="22"/>
          <w:szCs w:val="22"/>
        </w:rPr>
        <w:t xml:space="preserve">Si en el 2026 se priorizan “24 proyectos a entregar” (de acuerdo al PMR 2024) más varios a estructurar determinados en el Plan Distrital de Desarrollo “Bogotá Camina Segura” como se establece en el Anexo 1 del Proyecto de Acuerdo 1004 de 2026, direccionando el dinero a consolidar lo que viene en curso, no es posible esperar un giro territorial en cuanto a construcción de nuevos proyectos viales por parte de la administración de Carlos Fernando Galán. </w:t>
      </w:r>
    </w:p>
    <w:p w:rsidR="00743DA6" w:rsidRDefault="00D95D19">
      <w:pPr>
        <w:spacing w:before="240" w:after="240" w:line="276" w:lineRule="auto"/>
        <w:jc w:val="both"/>
        <w:rPr>
          <w:sz w:val="22"/>
          <w:szCs w:val="22"/>
        </w:rPr>
      </w:pPr>
      <w:r>
        <w:rPr>
          <w:sz w:val="22"/>
          <w:szCs w:val="22"/>
        </w:rPr>
        <w:br/>
      </w:r>
      <w:r>
        <w:rPr>
          <w:b/>
          <w:bCs/>
          <w:sz w:val="22"/>
          <w:szCs w:val="22"/>
        </w:rPr>
        <w:t>Tabla No. 60 Análisis al detalle en Proyectos Viales que actualmente se encuentran en etapas de construcción, mantenimiento y contratación:</w:t>
      </w:r>
    </w:p>
    <w:sdt>
      <w:sdtPr>
        <w:rPr>
          <w:rFonts w:ascii="Arial" w:eastAsia="Arial" w:hAnsi="Arial" w:cs="Arial"/>
          <w:sz w:val="24"/>
          <w:szCs w:val="24"/>
          <w:lang w:val="es" w:eastAsia="es-CO"/>
        </w:rPr>
        <w:tag w:val="goog_rdk_905"/>
        <w:id w:val="-1677352732"/>
        <w:lock w:val="contentLocked"/>
      </w:sdtPr>
      <w:sdtEndPr/>
      <w:sdtContent>
        <w:tbl>
          <w:tblPr>
            <w:tblStyle w:val="affffffff6"/>
            <w:tblW w:w="9030" w:type="dxa"/>
            <w:tblBorders>
              <w:top w:val="nil"/>
              <w:left w:val="nil"/>
              <w:bottom w:val="nil"/>
              <w:right w:val="nil"/>
              <w:insideH w:val="nil"/>
              <w:insideV w:val="nil"/>
            </w:tblBorders>
            <w:tblLayout w:type="fixed"/>
            <w:tblLook w:val="0600" w:firstRow="0" w:lastRow="0" w:firstColumn="0" w:lastColumn="0" w:noHBand="1" w:noVBand="1"/>
          </w:tblPr>
          <w:tblGrid>
            <w:gridCol w:w="2190"/>
            <w:gridCol w:w="1860"/>
            <w:gridCol w:w="1335"/>
            <w:gridCol w:w="1005"/>
            <w:gridCol w:w="1185"/>
            <w:gridCol w:w="1455"/>
          </w:tblGrid>
          <w:tr w:rsidR="00743DA6">
            <w:trPr>
              <w:trHeight w:val="1020"/>
            </w:trPr>
            <w:tc>
              <w:tcPr>
                <w:tcW w:w="9030" w:type="dxa"/>
                <w:gridSpan w:val="6"/>
                <w:tcBorders>
                  <w:top w:val="single" w:sz="7" w:space="0" w:color="1B1C1D"/>
                  <w:left w:val="single" w:sz="7" w:space="0" w:color="1B1C1D"/>
                  <w:bottom w:val="single" w:sz="7" w:space="0" w:color="1B1C1D"/>
                  <w:right w:val="single" w:sz="7" w:space="0" w:color="1B1C1D"/>
                </w:tcBorders>
                <w:shd w:val="clear" w:color="auto" w:fill="EFEFEF"/>
                <w:tcMar>
                  <w:top w:w="120" w:type="dxa"/>
                  <w:left w:w="180" w:type="dxa"/>
                  <w:bottom w:w="120" w:type="dxa"/>
                  <w:right w:w="180" w:type="dxa"/>
                </w:tcMar>
              </w:tcPr>
              <w:p w:rsidR="00743DA6" w:rsidRDefault="00D95D19">
                <w:pPr>
                  <w:spacing w:after="480" w:line="276" w:lineRule="auto"/>
                  <w:jc w:val="center"/>
                  <w:rPr>
                    <w:rFonts w:ascii="Arial" w:eastAsia="Arial" w:hAnsi="Arial" w:cs="Arial"/>
                    <w:b/>
                    <w:bCs/>
                    <w:color w:val="1B1C1D"/>
                  </w:rPr>
                </w:pPr>
                <w:r>
                  <w:rPr>
                    <w:rFonts w:ascii="Arial" w:eastAsia="Arial" w:hAnsi="Arial" w:cs="Arial"/>
                    <w:b/>
                    <w:bCs/>
                    <w:color w:val="1B1C1D"/>
                  </w:rPr>
                  <w:t xml:space="preserve">Distribución de </w:t>
                </w:r>
                <w:r>
                  <w:rPr>
                    <w:rFonts w:ascii="Arial" w:eastAsia="Arial" w:hAnsi="Arial" w:cs="Arial"/>
                    <w:b/>
                    <w:bCs/>
                  </w:rPr>
                  <w:t>Proyectos Viales en etapas de construcción, mantenimiento y contratación en Bogotá D.C.</w:t>
                </w:r>
              </w:p>
            </w:tc>
          </w:tr>
          <w:tr w:rsidR="00743DA6">
            <w:trPr>
              <w:trHeight w:val="1697"/>
            </w:trPr>
            <w:tc>
              <w:tcPr>
                <w:tcW w:w="2190" w:type="dxa"/>
                <w:tcBorders>
                  <w:top w:val="single" w:sz="7" w:space="0" w:color="1B1C1D"/>
                  <w:left w:val="single" w:sz="7" w:space="0" w:color="1B1C1D"/>
                  <w:bottom w:val="single" w:sz="7" w:space="0" w:color="1B1C1D"/>
                  <w:right w:val="single" w:sz="7" w:space="0" w:color="1B1C1D"/>
                </w:tcBorders>
                <w:shd w:val="clear" w:color="auto" w:fill="EFEFEF"/>
                <w:tcMar>
                  <w:top w:w="120" w:type="dxa"/>
                  <w:left w:w="180" w:type="dxa"/>
                  <w:bottom w:w="120" w:type="dxa"/>
                  <w:right w:w="180" w:type="dxa"/>
                </w:tcMar>
              </w:tcPr>
              <w:p w:rsidR="00743DA6" w:rsidRDefault="00D95D19">
                <w:pPr>
                  <w:spacing w:after="480" w:line="276" w:lineRule="auto"/>
                  <w:rPr>
                    <w:b/>
                    <w:bCs/>
                    <w:color w:val="1B1C1D"/>
                    <w:sz w:val="18"/>
                    <w:szCs w:val="18"/>
                  </w:rPr>
                </w:pPr>
                <w:r>
                  <w:rPr>
                    <w:b/>
                    <w:bCs/>
                    <w:color w:val="1B1C1D"/>
                    <w:sz w:val="18"/>
                    <w:szCs w:val="18"/>
                  </w:rPr>
                  <w:t>Ubicación en la ciudad</w:t>
                </w:r>
              </w:p>
            </w:tc>
            <w:tc>
              <w:tcPr>
                <w:tcW w:w="1860" w:type="dxa"/>
                <w:tcBorders>
                  <w:top w:val="single" w:sz="7" w:space="0" w:color="1B1C1D"/>
                  <w:left w:val="single" w:sz="7" w:space="0" w:color="1B1C1D"/>
                  <w:bottom w:val="single" w:sz="7" w:space="0" w:color="1B1C1D"/>
                  <w:right w:val="single" w:sz="7" w:space="0" w:color="1B1C1D"/>
                </w:tcBorders>
                <w:shd w:val="clear" w:color="auto" w:fill="EFEFEF"/>
                <w:tcMar>
                  <w:top w:w="120" w:type="dxa"/>
                  <w:left w:w="180" w:type="dxa"/>
                  <w:bottom w:w="120" w:type="dxa"/>
                  <w:right w:w="180" w:type="dxa"/>
                </w:tcMar>
              </w:tcPr>
              <w:p w:rsidR="00743DA6" w:rsidRDefault="00D95D19">
                <w:pPr>
                  <w:spacing w:after="480" w:line="276" w:lineRule="auto"/>
                  <w:rPr>
                    <w:b/>
                    <w:bCs/>
                    <w:color w:val="1B1C1D"/>
                    <w:sz w:val="18"/>
                    <w:szCs w:val="18"/>
                  </w:rPr>
                </w:pPr>
                <w:r>
                  <w:rPr>
                    <w:b/>
                    <w:bCs/>
                    <w:color w:val="1B1C1D"/>
                    <w:sz w:val="18"/>
                    <w:szCs w:val="18"/>
                  </w:rPr>
                  <w:t>En Construcción o mantenimiento con &gt;50% Avance</w:t>
                </w:r>
              </w:p>
            </w:tc>
            <w:tc>
              <w:tcPr>
                <w:tcW w:w="1335" w:type="dxa"/>
                <w:tcBorders>
                  <w:top w:val="single" w:sz="7" w:space="0" w:color="1B1C1D"/>
                  <w:left w:val="single" w:sz="7" w:space="0" w:color="1B1C1D"/>
                  <w:bottom w:val="single" w:sz="7" w:space="0" w:color="1B1C1D"/>
                  <w:right w:val="single" w:sz="7" w:space="0" w:color="1B1C1D"/>
                </w:tcBorders>
                <w:shd w:val="clear" w:color="auto" w:fill="EFEFEF"/>
                <w:tcMar>
                  <w:top w:w="120" w:type="dxa"/>
                  <w:left w:w="180" w:type="dxa"/>
                  <w:bottom w:w="120" w:type="dxa"/>
                  <w:right w:w="180" w:type="dxa"/>
                </w:tcMar>
              </w:tcPr>
              <w:p w:rsidR="00743DA6" w:rsidRDefault="00D95D19">
                <w:pPr>
                  <w:spacing w:after="480" w:line="276" w:lineRule="auto"/>
                  <w:rPr>
                    <w:b/>
                    <w:bCs/>
                    <w:color w:val="1B1C1D"/>
                    <w:sz w:val="18"/>
                    <w:szCs w:val="18"/>
                  </w:rPr>
                </w:pPr>
                <w:r>
                  <w:rPr>
                    <w:b/>
                    <w:bCs/>
                    <w:color w:val="1B1C1D"/>
                    <w:sz w:val="18"/>
                    <w:szCs w:val="18"/>
                  </w:rPr>
                  <w:t>En Construcción o mantenimiento con &lt;50% Avance</w:t>
                </w:r>
              </w:p>
            </w:tc>
            <w:tc>
              <w:tcPr>
                <w:tcW w:w="1005" w:type="dxa"/>
                <w:tcBorders>
                  <w:top w:val="single" w:sz="7" w:space="0" w:color="1B1C1D"/>
                  <w:left w:val="single" w:sz="7" w:space="0" w:color="1B1C1D"/>
                  <w:bottom w:val="single" w:sz="7" w:space="0" w:color="1B1C1D"/>
                  <w:right w:val="single" w:sz="7" w:space="0" w:color="1B1C1D"/>
                </w:tcBorders>
                <w:shd w:val="clear" w:color="auto" w:fill="EFEFEF"/>
                <w:tcMar>
                  <w:top w:w="120" w:type="dxa"/>
                  <w:left w:w="180" w:type="dxa"/>
                  <w:bottom w:w="120" w:type="dxa"/>
                  <w:right w:w="180" w:type="dxa"/>
                </w:tcMar>
              </w:tcPr>
              <w:p w:rsidR="00743DA6" w:rsidRDefault="00D95D19">
                <w:pPr>
                  <w:spacing w:after="480" w:line="276" w:lineRule="auto"/>
                  <w:rPr>
                    <w:b/>
                    <w:bCs/>
                    <w:color w:val="1B1C1D"/>
                    <w:sz w:val="18"/>
                    <w:szCs w:val="18"/>
                  </w:rPr>
                </w:pPr>
                <w:r>
                  <w:rPr>
                    <w:b/>
                    <w:bCs/>
                    <w:color w:val="1B1C1D"/>
                    <w:sz w:val="18"/>
                    <w:szCs w:val="18"/>
                  </w:rPr>
                  <w:t>En Contratación</w:t>
                </w:r>
              </w:p>
            </w:tc>
            <w:tc>
              <w:tcPr>
                <w:tcW w:w="1185" w:type="dxa"/>
                <w:tcBorders>
                  <w:top w:val="single" w:sz="7" w:space="0" w:color="1B1C1D"/>
                  <w:left w:val="single" w:sz="7" w:space="0" w:color="1B1C1D"/>
                  <w:bottom w:val="single" w:sz="7" w:space="0" w:color="1B1C1D"/>
                  <w:right w:val="single" w:sz="7" w:space="0" w:color="1B1C1D"/>
                </w:tcBorders>
                <w:shd w:val="clear" w:color="auto" w:fill="EFEFEF"/>
                <w:tcMar>
                  <w:top w:w="120" w:type="dxa"/>
                  <w:left w:w="180" w:type="dxa"/>
                  <w:bottom w:w="120" w:type="dxa"/>
                  <w:right w:w="180" w:type="dxa"/>
                </w:tcMar>
              </w:tcPr>
              <w:p w:rsidR="00743DA6" w:rsidRDefault="00D95D19">
                <w:pPr>
                  <w:spacing w:after="480" w:line="276" w:lineRule="auto"/>
                  <w:rPr>
                    <w:b/>
                    <w:bCs/>
                    <w:color w:val="1B1C1D"/>
                    <w:sz w:val="18"/>
                    <w:szCs w:val="18"/>
                  </w:rPr>
                </w:pPr>
                <w:r>
                  <w:rPr>
                    <w:b/>
                    <w:bCs/>
                    <w:color w:val="1B1C1D"/>
                    <w:sz w:val="18"/>
                    <w:szCs w:val="18"/>
                  </w:rPr>
                  <w:t xml:space="preserve">TOTAL Proyectos </w:t>
                </w:r>
              </w:p>
            </w:tc>
            <w:tc>
              <w:tcPr>
                <w:tcW w:w="1455" w:type="dxa"/>
                <w:tcBorders>
                  <w:top w:val="single" w:sz="7" w:space="0" w:color="1B1C1D"/>
                  <w:left w:val="single" w:sz="7" w:space="0" w:color="1B1C1D"/>
                  <w:bottom w:val="single" w:sz="7" w:space="0" w:color="1B1C1D"/>
                  <w:right w:val="single" w:sz="7" w:space="0" w:color="1B1C1D"/>
                </w:tcBorders>
                <w:shd w:val="clear" w:color="auto" w:fill="EFEFEF"/>
                <w:tcMar>
                  <w:top w:w="120" w:type="dxa"/>
                  <w:left w:w="180" w:type="dxa"/>
                  <w:bottom w:w="120" w:type="dxa"/>
                  <w:right w:w="180" w:type="dxa"/>
                </w:tcMar>
              </w:tcPr>
              <w:p w:rsidR="00743DA6" w:rsidRDefault="00D95D19">
                <w:pPr>
                  <w:spacing w:after="480" w:line="276" w:lineRule="auto"/>
                  <w:rPr>
                    <w:b/>
                    <w:bCs/>
                    <w:color w:val="1B1C1D"/>
                    <w:sz w:val="18"/>
                    <w:szCs w:val="18"/>
                  </w:rPr>
                </w:pPr>
                <w:r>
                  <w:rPr>
                    <w:b/>
                    <w:bCs/>
                    <w:color w:val="1B1C1D"/>
                    <w:sz w:val="18"/>
                    <w:szCs w:val="18"/>
                  </w:rPr>
                  <w:t>% sobre Total (59)</w:t>
                </w:r>
              </w:p>
            </w:tc>
          </w:tr>
          <w:tr w:rsidR="00743DA6">
            <w:trPr>
              <w:trHeight w:val="542"/>
            </w:trPr>
            <w:tc>
              <w:tcPr>
                <w:tcW w:w="219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Norte</w:t>
                </w:r>
              </w:p>
            </w:tc>
            <w:tc>
              <w:tcPr>
                <w:tcW w:w="186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12</w:t>
                </w:r>
              </w:p>
            </w:tc>
            <w:tc>
              <w:tcPr>
                <w:tcW w:w="133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4</w:t>
                </w:r>
              </w:p>
            </w:tc>
            <w:tc>
              <w:tcPr>
                <w:tcW w:w="100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6</w:t>
                </w:r>
              </w:p>
            </w:tc>
            <w:tc>
              <w:tcPr>
                <w:tcW w:w="118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22</w:t>
                </w:r>
              </w:p>
            </w:tc>
            <w:tc>
              <w:tcPr>
                <w:tcW w:w="145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37.3%</w:t>
                </w:r>
              </w:p>
            </w:tc>
          </w:tr>
          <w:tr w:rsidR="00743DA6">
            <w:trPr>
              <w:trHeight w:val="949"/>
            </w:trPr>
            <w:tc>
              <w:tcPr>
                <w:tcW w:w="219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Transmilenio (multi-localidad)</w:t>
                </w:r>
              </w:p>
            </w:tc>
            <w:tc>
              <w:tcPr>
                <w:tcW w:w="186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14</w:t>
                </w:r>
              </w:p>
            </w:tc>
            <w:tc>
              <w:tcPr>
                <w:tcW w:w="133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2</w:t>
                </w:r>
              </w:p>
            </w:tc>
            <w:tc>
              <w:tcPr>
                <w:tcW w:w="100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0</w:t>
                </w:r>
              </w:p>
            </w:tc>
            <w:tc>
              <w:tcPr>
                <w:tcW w:w="118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16</w:t>
                </w:r>
              </w:p>
            </w:tc>
            <w:tc>
              <w:tcPr>
                <w:tcW w:w="145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27.1%</w:t>
                </w:r>
              </w:p>
            </w:tc>
          </w:tr>
          <w:tr w:rsidR="00743DA6">
            <w:trPr>
              <w:trHeight w:val="587"/>
            </w:trPr>
            <w:tc>
              <w:tcPr>
                <w:tcW w:w="219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Sur</w:t>
                </w:r>
              </w:p>
            </w:tc>
            <w:tc>
              <w:tcPr>
                <w:tcW w:w="186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4</w:t>
                </w:r>
              </w:p>
            </w:tc>
            <w:tc>
              <w:tcPr>
                <w:tcW w:w="133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w:t>
                </w:r>
              </w:p>
            </w:tc>
            <w:tc>
              <w:tcPr>
                <w:tcW w:w="100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w:t>
                </w:r>
              </w:p>
            </w:tc>
            <w:tc>
              <w:tcPr>
                <w:tcW w:w="118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6</w:t>
                </w:r>
              </w:p>
            </w:tc>
            <w:tc>
              <w:tcPr>
                <w:tcW w:w="145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10.2%</w:t>
                </w:r>
              </w:p>
            </w:tc>
          </w:tr>
          <w:tr w:rsidR="00743DA6">
            <w:trPr>
              <w:trHeight w:val="542"/>
            </w:trPr>
            <w:tc>
              <w:tcPr>
                <w:tcW w:w="219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Sur Occidente</w:t>
                </w:r>
              </w:p>
            </w:tc>
            <w:tc>
              <w:tcPr>
                <w:tcW w:w="186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4</w:t>
                </w:r>
              </w:p>
            </w:tc>
            <w:tc>
              <w:tcPr>
                <w:tcW w:w="133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w:t>
                </w:r>
              </w:p>
            </w:tc>
            <w:tc>
              <w:tcPr>
                <w:tcW w:w="100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0</w:t>
                </w:r>
              </w:p>
            </w:tc>
            <w:tc>
              <w:tcPr>
                <w:tcW w:w="118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5</w:t>
                </w:r>
              </w:p>
            </w:tc>
            <w:tc>
              <w:tcPr>
                <w:tcW w:w="145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8.5%</w:t>
                </w:r>
              </w:p>
            </w:tc>
          </w:tr>
          <w:tr w:rsidR="00743DA6">
            <w:trPr>
              <w:trHeight w:val="634"/>
            </w:trPr>
            <w:tc>
              <w:tcPr>
                <w:tcW w:w="219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Centro Occidente</w:t>
                </w:r>
              </w:p>
            </w:tc>
            <w:tc>
              <w:tcPr>
                <w:tcW w:w="186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3</w:t>
                </w:r>
              </w:p>
            </w:tc>
            <w:tc>
              <w:tcPr>
                <w:tcW w:w="133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w:t>
                </w:r>
              </w:p>
            </w:tc>
            <w:tc>
              <w:tcPr>
                <w:tcW w:w="100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w:t>
                </w:r>
              </w:p>
            </w:tc>
            <w:tc>
              <w:tcPr>
                <w:tcW w:w="118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5</w:t>
                </w:r>
              </w:p>
            </w:tc>
            <w:tc>
              <w:tcPr>
                <w:tcW w:w="145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8.5%</w:t>
                </w:r>
              </w:p>
            </w:tc>
          </w:tr>
          <w:tr w:rsidR="00743DA6">
            <w:trPr>
              <w:trHeight w:val="784"/>
            </w:trPr>
            <w:tc>
              <w:tcPr>
                <w:tcW w:w="219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Varios (varias zonas)</w:t>
                </w:r>
              </w:p>
            </w:tc>
            <w:tc>
              <w:tcPr>
                <w:tcW w:w="186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2</w:t>
                </w:r>
              </w:p>
            </w:tc>
            <w:tc>
              <w:tcPr>
                <w:tcW w:w="133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w:t>
                </w:r>
              </w:p>
            </w:tc>
            <w:tc>
              <w:tcPr>
                <w:tcW w:w="100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0</w:t>
                </w:r>
              </w:p>
            </w:tc>
            <w:tc>
              <w:tcPr>
                <w:tcW w:w="118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3</w:t>
                </w:r>
              </w:p>
            </w:tc>
            <w:tc>
              <w:tcPr>
                <w:tcW w:w="145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5.1%</w:t>
                </w:r>
              </w:p>
            </w:tc>
          </w:tr>
          <w:tr w:rsidR="00743DA6">
            <w:trPr>
              <w:trHeight w:val="555"/>
            </w:trPr>
            <w:tc>
              <w:tcPr>
                <w:tcW w:w="219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Centro</w:t>
                </w:r>
              </w:p>
            </w:tc>
            <w:tc>
              <w:tcPr>
                <w:tcW w:w="186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0</w:t>
                </w:r>
              </w:p>
            </w:tc>
            <w:tc>
              <w:tcPr>
                <w:tcW w:w="133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0</w:t>
                </w:r>
              </w:p>
            </w:tc>
            <w:tc>
              <w:tcPr>
                <w:tcW w:w="100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w:t>
                </w:r>
              </w:p>
            </w:tc>
            <w:tc>
              <w:tcPr>
                <w:tcW w:w="118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w:t>
                </w:r>
              </w:p>
            </w:tc>
            <w:tc>
              <w:tcPr>
                <w:tcW w:w="145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1.7%</w:t>
                </w:r>
              </w:p>
            </w:tc>
          </w:tr>
          <w:tr w:rsidR="00743DA6">
            <w:trPr>
              <w:trHeight w:val="825"/>
            </w:trPr>
            <w:tc>
              <w:tcPr>
                <w:tcW w:w="219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Centro Oriente</w:t>
                </w:r>
              </w:p>
            </w:tc>
            <w:tc>
              <w:tcPr>
                <w:tcW w:w="186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0</w:t>
                </w:r>
              </w:p>
            </w:tc>
            <w:tc>
              <w:tcPr>
                <w:tcW w:w="133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0</w:t>
                </w:r>
              </w:p>
            </w:tc>
            <w:tc>
              <w:tcPr>
                <w:tcW w:w="100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w:t>
                </w:r>
              </w:p>
            </w:tc>
            <w:tc>
              <w:tcPr>
                <w:tcW w:w="118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w:t>
                </w:r>
              </w:p>
            </w:tc>
            <w:tc>
              <w:tcPr>
                <w:tcW w:w="145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1.7%</w:t>
                </w:r>
              </w:p>
            </w:tc>
          </w:tr>
          <w:tr w:rsidR="00743DA6">
            <w:trPr>
              <w:trHeight w:val="555"/>
            </w:trPr>
            <w:tc>
              <w:tcPr>
                <w:tcW w:w="219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Total</w:t>
                </w:r>
              </w:p>
            </w:tc>
            <w:tc>
              <w:tcPr>
                <w:tcW w:w="1860"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39</w:t>
                </w:r>
              </w:p>
            </w:tc>
            <w:tc>
              <w:tcPr>
                <w:tcW w:w="133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10</w:t>
                </w:r>
              </w:p>
            </w:tc>
            <w:tc>
              <w:tcPr>
                <w:tcW w:w="100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10</w:t>
                </w:r>
              </w:p>
            </w:tc>
            <w:tc>
              <w:tcPr>
                <w:tcW w:w="118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59</w:t>
                </w:r>
              </w:p>
            </w:tc>
            <w:tc>
              <w:tcPr>
                <w:tcW w:w="1455" w:type="dxa"/>
                <w:tcBorders>
                  <w:top w:val="single" w:sz="7" w:space="0" w:color="1B1C1D"/>
                  <w:left w:val="single" w:sz="7" w:space="0" w:color="1B1C1D"/>
                  <w:bottom w:val="single" w:sz="7" w:space="0" w:color="1B1C1D"/>
                  <w:right w:val="single" w:sz="7" w:space="0" w:color="1B1C1D"/>
                </w:tcBorders>
                <w:tcMar>
                  <w:top w:w="120" w:type="dxa"/>
                  <w:left w:w="180" w:type="dxa"/>
                  <w:bottom w:w="120" w:type="dxa"/>
                  <w:right w:w="180" w:type="dxa"/>
                </w:tcMar>
              </w:tcPr>
              <w:p w:rsidR="00743DA6" w:rsidRDefault="00D95D19">
                <w:pPr>
                  <w:spacing w:after="480" w:line="276" w:lineRule="auto"/>
                  <w:rPr>
                    <w:color w:val="1B1C1D"/>
                    <w:sz w:val="18"/>
                    <w:szCs w:val="18"/>
                  </w:rPr>
                </w:pPr>
                <w:r>
                  <w:rPr>
                    <w:color w:val="1B1C1D"/>
                    <w:sz w:val="18"/>
                    <w:szCs w:val="18"/>
                  </w:rPr>
                  <w:t>100.0%</w:t>
                </w:r>
              </w:p>
            </w:tc>
          </w:tr>
        </w:tbl>
      </w:sdtContent>
    </w:sdt>
    <w:p w:rsidR="00743DA6" w:rsidRDefault="00D95D19">
      <w:pPr>
        <w:jc w:val="both"/>
        <w:rPr>
          <w:sz w:val="22"/>
          <w:szCs w:val="22"/>
        </w:rPr>
      </w:pPr>
      <w:r>
        <w:rPr>
          <w:sz w:val="18"/>
          <w:szCs w:val="18"/>
        </w:rPr>
        <w:t>Fuente: Elaboración propia (2025) con base en la información suministrada por SDH (2025)</w:t>
      </w:r>
    </w:p>
    <w:p w:rsidR="00743DA6" w:rsidRDefault="00D95D19">
      <w:pPr>
        <w:spacing w:before="240" w:after="240" w:line="276" w:lineRule="auto"/>
        <w:jc w:val="both"/>
        <w:rPr>
          <w:sz w:val="22"/>
          <w:szCs w:val="22"/>
        </w:rPr>
      </w:pPr>
      <w:r>
        <w:rPr>
          <w:sz w:val="22"/>
          <w:szCs w:val="22"/>
        </w:rPr>
        <w:t>Este análisis consolidado de 59 proyectos que están en etapa de construcción, mantenimiento o contratación, es el más revelador:</w:t>
      </w:r>
    </w:p>
    <w:p w:rsidR="00743DA6" w:rsidRDefault="00D95D19">
      <w:pPr>
        <w:numPr>
          <w:ilvl w:val="0"/>
          <w:numId w:val="43"/>
        </w:numPr>
        <w:spacing w:before="240" w:line="276" w:lineRule="auto"/>
        <w:jc w:val="both"/>
        <w:rPr>
          <w:sz w:val="22"/>
          <w:szCs w:val="22"/>
        </w:rPr>
      </w:pPr>
      <w:r>
        <w:rPr>
          <w:sz w:val="22"/>
          <w:szCs w:val="22"/>
        </w:rPr>
        <w:t>Dominio del Futuro (Contratación): El Norte domina por completo la contratación, con 6 de los 10 nuevos proyectos (60%).</w:t>
      </w:r>
    </w:p>
    <w:p w:rsidR="00743DA6" w:rsidRDefault="00D95D19">
      <w:pPr>
        <w:numPr>
          <w:ilvl w:val="0"/>
          <w:numId w:val="43"/>
        </w:numPr>
        <w:spacing w:line="276" w:lineRule="auto"/>
        <w:jc w:val="both"/>
        <w:rPr>
          <w:sz w:val="22"/>
          <w:szCs w:val="22"/>
        </w:rPr>
      </w:pPr>
      <w:r>
        <w:rPr>
          <w:sz w:val="22"/>
          <w:szCs w:val="22"/>
        </w:rPr>
        <w:t>El Norte Supera a TM: Al sumar todo el "pipeline" (Construcción, mantenimiento + contratación), la categoría "Norte" (22 proyectos) se consolida como la prioridad número uno en volumen, superando a "Transmilenio" (16 proyectos).</w:t>
      </w:r>
    </w:p>
    <w:p w:rsidR="00743DA6" w:rsidRDefault="00D95D19">
      <w:pPr>
        <w:numPr>
          <w:ilvl w:val="0"/>
          <w:numId w:val="43"/>
        </w:numPr>
        <w:spacing w:after="240" w:line="276" w:lineRule="auto"/>
        <w:jc w:val="both"/>
        <w:rPr>
          <w:sz w:val="22"/>
          <w:szCs w:val="22"/>
        </w:rPr>
      </w:pPr>
      <w:r>
        <w:rPr>
          <w:sz w:val="22"/>
          <w:szCs w:val="22"/>
        </w:rPr>
        <w:t>La Prioridad Combinada se Mantiene: La inversión sigue centrada en estas dos categorías (Norte - Transmilenio). Sumadas, representan 38 de los 59 proyectos totales (22 del Norte + 16 de TM).</w:t>
      </w:r>
    </w:p>
    <w:p w:rsidR="00743DA6" w:rsidRDefault="00D95D19">
      <w:pPr>
        <w:spacing w:before="240" w:after="240" w:line="276" w:lineRule="auto"/>
        <w:jc w:val="both"/>
        <w:rPr>
          <w:sz w:val="22"/>
          <w:szCs w:val="22"/>
        </w:rPr>
      </w:pPr>
      <w:r>
        <w:rPr>
          <w:sz w:val="22"/>
          <w:szCs w:val="22"/>
        </w:rPr>
        <w:t>Esto significa que el 64.4% de todo el portafolio de obras del IDU (Que están en construcción, mantenimiento y en contratación) se destina al Norte o al sistema Transmilenio.</w:t>
      </w:r>
    </w:p>
    <w:p w:rsidR="00743DA6" w:rsidRDefault="00D95D19">
      <w:pPr>
        <w:spacing w:before="240" w:after="240" w:line="276" w:lineRule="auto"/>
        <w:jc w:val="both"/>
        <w:rPr>
          <w:sz w:val="22"/>
          <w:szCs w:val="22"/>
        </w:rPr>
      </w:pPr>
      <w:r>
        <w:rPr>
          <w:sz w:val="22"/>
          <w:szCs w:val="22"/>
        </w:rPr>
        <w:t>El anterior análisis propio se puede corroborar con las respuestas oficiales de la entidad, sin embargo, la administración habla de equilibrio en la distribución territorial de los 113 proyectos viales pero su reporte demuestra lo contrario, estos se distruyen así:</w:t>
      </w:r>
    </w:p>
    <w:p w:rsidR="00743DA6" w:rsidRDefault="00D95D19">
      <w:pPr>
        <w:spacing w:before="240" w:after="240" w:line="276" w:lineRule="auto"/>
        <w:jc w:val="both"/>
        <w:rPr>
          <w:sz w:val="22"/>
          <w:szCs w:val="22"/>
        </w:rPr>
      </w:pPr>
      <w:r>
        <w:rPr>
          <w:sz w:val="22"/>
          <w:szCs w:val="22"/>
        </w:rPr>
        <w:t>Centro ampliado (31,9%) con 36 proyectos en zonas como Chapinero, Teusaquillo y Puente Aranda.</w:t>
      </w:r>
    </w:p>
    <w:p w:rsidR="00743DA6" w:rsidRDefault="00D95D19">
      <w:pPr>
        <w:numPr>
          <w:ilvl w:val="0"/>
          <w:numId w:val="26"/>
        </w:numPr>
        <w:spacing w:before="240" w:line="276" w:lineRule="auto"/>
        <w:jc w:val="both"/>
        <w:rPr>
          <w:sz w:val="22"/>
          <w:szCs w:val="22"/>
        </w:rPr>
      </w:pPr>
      <w:r>
        <w:rPr>
          <w:sz w:val="22"/>
          <w:szCs w:val="22"/>
        </w:rPr>
        <w:t>Zona norte (29,2%) con 33 proyectos ubicados en localidades como Usaquén, Suba y Barrios Unidos.</w:t>
      </w:r>
    </w:p>
    <w:p w:rsidR="00743DA6" w:rsidRDefault="00D95D19">
      <w:pPr>
        <w:numPr>
          <w:ilvl w:val="0"/>
          <w:numId w:val="26"/>
        </w:numPr>
        <w:spacing w:line="276" w:lineRule="auto"/>
        <w:jc w:val="both"/>
        <w:rPr>
          <w:sz w:val="22"/>
          <w:szCs w:val="22"/>
        </w:rPr>
      </w:pPr>
      <w:r>
        <w:rPr>
          <w:sz w:val="22"/>
          <w:szCs w:val="22"/>
        </w:rPr>
        <w:t>Sur occidente (20,4%) con 23 proyectos en zonas como Kennedy, Bosa y Tunjuelito.</w:t>
      </w:r>
    </w:p>
    <w:p w:rsidR="00743DA6" w:rsidRDefault="00D95D19">
      <w:pPr>
        <w:numPr>
          <w:ilvl w:val="0"/>
          <w:numId w:val="26"/>
        </w:numPr>
        <w:spacing w:line="276" w:lineRule="auto"/>
        <w:jc w:val="both"/>
        <w:rPr>
          <w:sz w:val="22"/>
          <w:szCs w:val="22"/>
        </w:rPr>
      </w:pPr>
      <w:r>
        <w:rPr>
          <w:sz w:val="22"/>
          <w:szCs w:val="22"/>
        </w:rPr>
        <w:t>Occidente (17,7%) con 20 proyectos en Engativá y Fontibón.</w:t>
      </w:r>
    </w:p>
    <w:p w:rsidR="00743DA6" w:rsidRDefault="00D95D19">
      <w:pPr>
        <w:numPr>
          <w:ilvl w:val="0"/>
          <w:numId w:val="26"/>
        </w:numPr>
        <w:spacing w:line="276" w:lineRule="auto"/>
        <w:jc w:val="both"/>
        <w:rPr>
          <w:sz w:val="22"/>
          <w:szCs w:val="22"/>
        </w:rPr>
      </w:pPr>
      <w:r>
        <w:rPr>
          <w:sz w:val="22"/>
          <w:szCs w:val="22"/>
        </w:rPr>
        <w:t>Sur oriente (13,3%) con 15 proyectos en San Cristóbal, Rafael Uribe y Usme.</w:t>
      </w:r>
    </w:p>
    <w:p w:rsidR="00743DA6" w:rsidRDefault="00D95D19">
      <w:pPr>
        <w:numPr>
          <w:ilvl w:val="0"/>
          <w:numId w:val="26"/>
        </w:numPr>
        <w:spacing w:line="276" w:lineRule="auto"/>
        <w:jc w:val="both"/>
        <w:rPr>
          <w:sz w:val="22"/>
          <w:szCs w:val="22"/>
        </w:rPr>
      </w:pPr>
      <w:r>
        <w:rPr>
          <w:sz w:val="22"/>
          <w:szCs w:val="22"/>
        </w:rPr>
        <w:t>Sector noroccidente (5,3%) con 6 proyectos en Suba y sus alrededores.</w:t>
      </w:r>
    </w:p>
    <w:p w:rsidR="00743DA6" w:rsidRDefault="00D95D19">
      <w:pPr>
        <w:numPr>
          <w:ilvl w:val="0"/>
          <w:numId w:val="26"/>
        </w:numPr>
        <w:spacing w:after="240" w:line="276" w:lineRule="auto"/>
        <w:jc w:val="both"/>
        <w:rPr>
          <w:sz w:val="22"/>
          <w:szCs w:val="22"/>
        </w:rPr>
      </w:pPr>
      <w:r>
        <w:rPr>
          <w:sz w:val="22"/>
          <w:szCs w:val="22"/>
        </w:rPr>
        <w:t>Sector rural (2,7%) con 3 proyectos en los Cerros Orientales.</w:t>
      </w:r>
    </w:p>
    <w:p w:rsidR="00743DA6" w:rsidRDefault="00D95D19">
      <w:pPr>
        <w:spacing w:before="240" w:after="240" w:line="276" w:lineRule="auto"/>
        <w:jc w:val="both"/>
        <w:rPr>
          <w:sz w:val="22"/>
          <w:szCs w:val="22"/>
        </w:rPr>
      </w:pPr>
      <w:r>
        <w:rPr>
          <w:sz w:val="22"/>
          <w:szCs w:val="22"/>
        </w:rPr>
        <w:t>En ese sentido, los datos oficiales del IDU muestran una distribución inequitativa de los proyectos priorizados: el 61% se concentra en el norte y el centro ampliado, mientras que el suroriente y la ruralidad apenas alcanzan el 13% y el 2,7% respectivamente. Esta no es una prioridad equilibrada, sino una concentración geográfica del esfuerzo público que reproduce las desigualdades históricas, las cuales se ven ahondadas con la distribución presupuestal de los proyectos viales priorizados para el año 2026 como ya se ha expuesto en esta ponencia.</w:t>
      </w:r>
    </w:p>
    <w:p w:rsidR="00743DA6" w:rsidRDefault="00D95D19">
      <w:pPr>
        <w:spacing w:before="240" w:after="240" w:line="276" w:lineRule="auto"/>
        <w:jc w:val="both"/>
        <w:rPr>
          <w:sz w:val="22"/>
          <w:szCs w:val="22"/>
        </w:rPr>
      </w:pPr>
      <w:r>
        <w:rPr>
          <w:sz w:val="22"/>
          <w:szCs w:val="22"/>
        </w:rPr>
        <w:t>De igual forma, los mapas por UPL, suministrados por el IDU a esta curul muestran que las UPL de Puente Aranda y de Usaquén dominan la asignación de proyectos:</w:t>
      </w:r>
    </w:p>
    <w:p w:rsidR="00743DA6" w:rsidRDefault="00D95D19">
      <w:pPr>
        <w:numPr>
          <w:ilvl w:val="0"/>
          <w:numId w:val="15"/>
        </w:numPr>
        <w:spacing w:before="240" w:line="276" w:lineRule="auto"/>
        <w:jc w:val="both"/>
        <w:rPr>
          <w:sz w:val="22"/>
          <w:szCs w:val="22"/>
        </w:rPr>
      </w:pPr>
      <w:r>
        <w:rPr>
          <w:sz w:val="22"/>
          <w:szCs w:val="22"/>
        </w:rPr>
        <w:t>Puente Aranda: 18,6% de proyectos</w:t>
      </w:r>
      <w:r>
        <w:rPr>
          <w:sz w:val="22"/>
          <w:szCs w:val="22"/>
        </w:rPr>
        <w:br/>
      </w:r>
    </w:p>
    <w:p w:rsidR="00743DA6" w:rsidRDefault="00D95D19">
      <w:pPr>
        <w:numPr>
          <w:ilvl w:val="0"/>
          <w:numId w:val="15"/>
        </w:numPr>
        <w:spacing w:line="276" w:lineRule="auto"/>
        <w:jc w:val="both"/>
        <w:rPr>
          <w:sz w:val="22"/>
          <w:szCs w:val="22"/>
        </w:rPr>
      </w:pPr>
      <w:r>
        <w:rPr>
          <w:sz w:val="22"/>
          <w:szCs w:val="22"/>
        </w:rPr>
        <w:t>Usaquén: 15%</w:t>
      </w:r>
      <w:r>
        <w:rPr>
          <w:sz w:val="22"/>
          <w:szCs w:val="22"/>
        </w:rPr>
        <w:br/>
      </w:r>
    </w:p>
    <w:p w:rsidR="00743DA6" w:rsidRDefault="00D95D19">
      <w:pPr>
        <w:numPr>
          <w:ilvl w:val="0"/>
          <w:numId w:val="15"/>
        </w:numPr>
        <w:spacing w:after="240" w:line="276" w:lineRule="auto"/>
        <w:jc w:val="both"/>
        <w:rPr>
          <w:sz w:val="22"/>
          <w:szCs w:val="22"/>
        </w:rPr>
      </w:pPr>
      <w:r>
        <w:rPr>
          <w:sz w:val="22"/>
          <w:szCs w:val="22"/>
        </w:rPr>
        <w:t>Salitre: 12,4%</w:t>
      </w:r>
    </w:p>
    <w:p w:rsidR="00743DA6" w:rsidRDefault="00D95D19">
      <w:pPr>
        <w:spacing w:before="240" w:after="240" w:line="276" w:lineRule="auto"/>
        <w:jc w:val="both"/>
        <w:rPr>
          <w:sz w:val="18"/>
          <w:szCs w:val="18"/>
        </w:rPr>
      </w:pPr>
      <w:r>
        <w:rPr>
          <w:sz w:val="22"/>
          <w:szCs w:val="22"/>
        </w:rPr>
        <w:t>Localidades populares como Usme, Ciudad Bolívar, Bosa, San Cristóbal, Rafael Uribe, Tunjuelito tienen mucho menor participación.</w:t>
      </w:r>
      <w:r>
        <w:rPr>
          <w:noProof/>
          <w:sz w:val="22"/>
          <w:szCs w:val="22"/>
          <w:lang w:val="es-CO"/>
        </w:rPr>
        <w:drawing>
          <wp:inline distT="114300" distB="114300" distL="114300" distR="114300">
            <wp:extent cx="5612130" cy="3162300"/>
            <wp:effectExtent l="0" t="0" r="0" b="0"/>
            <wp:docPr id="2127399576"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49"/>
                    <a:srcRect/>
                    <a:stretch>
                      <a:fillRect/>
                    </a:stretch>
                  </pic:blipFill>
                  <pic:spPr>
                    <a:xfrm>
                      <a:off x="0" y="0"/>
                      <a:ext cx="5612130" cy="3162300"/>
                    </a:xfrm>
                    <a:prstGeom prst="rect">
                      <a:avLst/>
                    </a:prstGeom>
                    <a:ln/>
                  </pic:spPr>
                </pic:pic>
              </a:graphicData>
            </a:graphic>
          </wp:inline>
        </w:drawing>
      </w:r>
      <w:r>
        <w:rPr>
          <w:b/>
          <w:bCs/>
          <w:sz w:val="18"/>
          <w:szCs w:val="18"/>
        </w:rPr>
        <w:t>Fuente</w:t>
      </w:r>
      <w:r>
        <w:rPr>
          <w:sz w:val="18"/>
          <w:szCs w:val="18"/>
        </w:rPr>
        <w:t>: Oficina Asesora de Planeación – IDU *</w:t>
      </w:r>
      <w:r>
        <w:rPr>
          <w:b/>
          <w:bCs/>
          <w:sz w:val="18"/>
          <w:szCs w:val="18"/>
        </w:rPr>
        <w:t>Nota</w:t>
      </w:r>
      <w:r>
        <w:rPr>
          <w:sz w:val="18"/>
          <w:szCs w:val="18"/>
        </w:rPr>
        <w:t>: Las Unidades de Planeación Local (UPL) resaltadas en color gris no se encuentran asociadas a un proyecto de infraestructura para la movilidad priorizado en el Plan de Desarrollo 2024 - 2027 ‘Bogotá Camina Segura’.</w:t>
      </w:r>
    </w:p>
    <w:p w:rsidR="00743DA6" w:rsidRDefault="00D95D19">
      <w:pPr>
        <w:spacing w:before="240" w:after="240" w:line="276" w:lineRule="auto"/>
        <w:jc w:val="both"/>
        <w:rPr>
          <w:b/>
          <w:bCs/>
          <w:sz w:val="22"/>
          <w:szCs w:val="22"/>
        </w:rPr>
      </w:pPr>
      <w:r>
        <w:rPr>
          <w:sz w:val="22"/>
          <w:szCs w:val="22"/>
        </w:rPr>
        <w:t>Ahora bien, frente a la baja ejecución presupuestal que se traduce en retrasos en los frentes de obra el IDU admite que muchos proyectos no avanzan por falta de coordinación institucional (inclusive, falta de coordinación con el Gobierno Nacional), gestión predial y licencias. Esto confirma que el problema no es ‘falta de dinero’, sino problemas estructurales de gestión y planeación por parte del Distrito. Mientras no se resuelvan estos cuellos de botella, aumentar o disminuir presupuesto no cambia la realidad: las obras no salen.</w:t>
      </w:r>
    </w:p>
    <w:p w:rsidR="00743DA6" w:rsidRDefault="00D95D19">
      <w:pPr>
        <w:spacing w:before="240" w:after="240" w:line="276" w:lineRule="auto"/>
        <w:rPr>
          <w:b/>
          <w:bCs/>
          <w:sz w:val="22"/>
          <w:szCs w:val="22"/>
        </w:rPr>
      </w:pPr>
      <w:r>
        <w:rPr>
          <w:b/>
          <w:bCs/>
          <w:sz w:val="22"/>
          <w:szCs w:val="22"/>
        </w:rPr>
        <w:t>El caso de la Troncal Bolivariana, un ejemplo del desequilibrio territorial y falta de coordinación interinstitucional:</w:t>
      </w:r>
    </w:p>
    <w:p w:rsidR="00743DA6" w:rsidRDefault="00D95D19">
      <w:pPr>
        <w:spacing w:after="200" w:line="276" w:lineRule="auto"/>
        <w:jc w:val="both"/>
        <w:rPr>
          <w:sz w:val="22"/>
          <w:szCs w:val="22"/>
        </w:rPr>
      </w:pPr>
      <w:r>
        <w:rPr>
          <w:sz w:val="22"/>
          <w:szCs w:val="22"/>
        </w:rPr>
        <w:t xml:space="preserve">La Troncal Bolivariana, vía que conecta a la Bogotá Urbana con la Bogotá Rural en las localidades de Usme y Sumapaz, vive un deterioro acelerado y permanente. Pese a ser competencia directa del Instituto de Desarrollo Urbano (IDU), el mantenimiento ha sido descargado de forma irregular sobre el Fondo de Desarrollo Local, que carece de maquinaria suficiente y ni siquiera tiene permiso para extraer material de recebo para reparar la calzada. Mientras el IDU dilata sus actuaciones, la vía se desmorona. Los campesinos, con sus propios medios, sostienen los tramos que el Distrito abandonó. Y aunque desde la administración se insiste en culpar a la ANLA, lo cierto es que —como reconoce el propio oficio IDU 202517500871731 del 13 de agosto de 2025— la responsabilidad recae en el IDU, titular del Plan de Manejo Ambiental aprobado por la Resolución 1069 de 2001. En ese sentido, la ANLA ha insistido en que no ha negado el permiso: ha devuelto observaciones técnicas por deficiencias del documento presentado por parte del IDU. </w:t>
      </w:r>
    </w:p>
    <w:p w:rsidR="00743DA6" w:rsidRDefault="00D95D19">
      <w:pPr>
        <w:spacing w:after="200" w:line="276" w:lineRule="auto"/>
        <w:jc w:val="both"/>
        <w:rPr>
          <w:sz w:val="22"/>
          <w:szCs w:val="22"/>
        </w:rPr>
      </w:pPr>
      <w:r>
        <w:rPr>
          <w:sz w:val="22"/>
          <w:szCs w:val="22"/>
        </w:rPr>
        <w:t>La inacción no es ambiental, es burocrática y administrativa. En seis años, el IDU contrató estudios, consultorías y planes (como el contrato IDU-1314-2019), pero no ha ejecutado las obras necesarias en el tramo dentro del Parque Nacional Natural Sumapaz.</w:t>
      </w:r>
    </w:p>
    <w:p w:rsidR="00743DA6" w:rsidRDefault="00D95D19">
      <w:pPr>
        <w:spacing w:after="200" w:line="276" w:lineRule="auto"/>
        <w:jc w:val="both"/>
        <w:rPr>
          <w:b/>
          <w:bCs/>
          <w:sz w:val="22"/>
          <w:szCs w:val="22"/>
        </w:rPr>
      </w:pPr>
      <w:r>
        <w:rPr>
          <w:b/>
          <w:bCs/>
          <w:sz w:val="22"/>
          <w:szCs w:val="22"/>
        </w:rPr>
        <w:t>Petición de Aumento presupuestal</w:t>
      </w:r>
    </w:p>
    <w:p w:rsidR="00743DA6" w:rsidRDefault="00D95D19">
      <w:pPr>
        <w:spacing w:after="200" w:line="276" w:lineRule="auto"/>
        <w:jc w:val="both"/>
        <w:rPr>
          <w:b/>
          <w:bCs/>
          <w:color w:val="000000"/>
          <w:sz w:val="22"/>
          <w:szCs w:val="22"/>
        </w:rPr>
      </w:pPr>
      <w:r>
        <w:rPr>
          <w:b/>
          <w:bCs/>
          <w:sz w:val="22"/>
          <w:szCs w:val="22"/>
        </w:rPr>
        <w:t>Brazo del humedal</w:t>
      </w:r>
    </w:p>
    <w:p w:rsidR="00743DA6" w:rsidRDefault="00D95D19">
      <w:pPr>
        <w:spacing w:before="240" w:after="240" w:line="276" w:lineRule="auto"/>
        <w:jc w:val="both"/>
        <w:rPr>
          <w:sz w:val="22"/>
          <w:szCs w:val="22"/>
        </w:rPr>
      </w:pPr>
      <w:r>
        <w:rPr>
          <w:sz w:val="22"/>
          <w:szCs w:val="22"/>
        </w:rPr>
        <w:t>Con el propósito de garantizar el avance definitivo del proyecto de construcción del puente vehicular y peatonal en la calle 129C entre carreras 99A y 100A, sobre el brazo del Humedal Juan Amarillo, y en cumplimiento de su priorización en el Plan Distrital de Desarrollo (PDD), así como en reconocimiento a una lucha comunitaria de más de 20 años, se propone adicionar tres mil cuatrocientos millones de pesos ($3.400.000.000) al presupuesto de la vigencia 2026.</w:t>
      </w:r>
    </w:p>
    <w:p w:rsidR="00743DA6" w:rsidRDefault="00D95D19">
      <w:pPr>
        <w:spacing w:before="240" w:after="240" w:line="276" w:lineRule="auto"/>
        <w:jc w:val="both"/>
        <w:rPr>
          <w:sz w:val="22"/>
          <w:szCs w:val="22"/>
        </w:rPr>
      </w:pPr>
      <w:r>
        <w:rPr>
          <w:sz w:val="22"/>
          <w:szCs w:val="22"/>
        </w:rPr>
        <w:t>Esta adición representa el 20% del valor total actualizado del proyecto, tasado en diecisiete mil millones de pesos ($17.000.000.000). Con estos recursos, se proyecta que en el segundo semestre de 2026 el Instituto de Desarrollo Urbano – IDU pueda iniciar la estructuración del nuevo contrato de obra y avanzar en su adjudicación, dando continuidad a los compromisos construidos en las mesas de trabajo sostenidas durante casi un año con la comunidad y las entidades distritales.</w:t>
      </w:r>
    </w:p>
    <w:p w:rsidR="00743DA6" w:rsidRDefault="00D95D19">
      <w:pPr>
        <w:spacing w:before="240" w:after="240" w:line="276" w:lineRule="auto"/>
        <w:jc w:val="both"/>
        <w:rPr>
          <w:b/>
          <w:bCs/>
          <w:sz w:val="22"/>
          <w:szCs w:val="22"/>
        </w:rPr>
      </w:pPr>
      <w:r>
        <w:rPr>
          <w:sz w:val="22"/>
          <w:szCs w:val="22"/>
        </w:rPr>
        <w:t>Es importante mencionar que la Empresa de Acueducto y Alcantarillado de Bogotá – EAAB ya inició el proceso de reconformación geomorfológica del brazo del humedal, requisito técnico fundamental para permitir la actualización de los diseños y el avance contractual.</w:t>
      </w:r>
    </w:p>
    <w:p w:rsidR="00743DA6" w:rsidRDefault="00743DA6">
      <w:pPr>
        <w:pBdr>
          <w:top w:val="nil"/>
          <w:left w:val="nil"/>
          <w:bottom w:val="nil"/>
          <w:right w:val="nil"/>
          <w:between w:val="nil"/>
        </w:pBdr>
        <w:spacing w:line="259" w:lineRule="auto"/>
        <w:ind w:left="720"/>
        <w:rPr>
          <w:sz w:val="22"/>
          <w:szCs w:val="22"/>
        </w:rPr>
      </w:pPr>
    </w:p>
    <w:p w:rsidR="00743DA6" w:rsidRDefault="00D95D19">
      <w:pPr>
        <w:pBdr>
          <w:top w:val="nil"/>
          <w:left w:val="nil"/>
          <w:bottom w:val="nil"/>
          <w:right w:val="nil"/>
          <w:between w:val="nil"/>
        </w:pBdr>
        <w:spacing w:line="259" w:lineRule="auto"/>
        <w:jc w:val="both"/>
        <w:rPr>
          <w:sz w:val="22"/>
          <w:szCs w:val="22"/>
        </w:rPr>
      </w:pPr>
      <w:r>
        <w:rPr>
          <w:b/>
          <w:bCs/>
          <w:color w:val="000000"/>
          <w:sz w:val="22"/>
          <w:szCs w:val="22"/>
        </w:rPr>
        <w:t>Empresa de Transporte del Tercer Milenio - Transmilenio S.A</w:t>
      </w:r>
      <w:r>
        <w:rPr>
          <w:color w:val="000000"/>
          <w:sz w:val="22"/>
          <w:szCs w:val="22"/>
        </w:rPr>
        <w:t>.</w:t>
      </w:r>
    </w:p>
    <w:p w:rsidR="00743DA6" w:rsidRDefault="00D95D19">
      <w:pPr>
        <w:spacing w:before="240" w:after="240" w:line="259" w:lineRule="auto"/>
        <w:jc w:val="both"/>
        <w:rPr>
          <w:sz w:val="22"/>
          <w:szCs w:val="22"/>
        </w:rPr>
      </w:pPr>
      <w:r>
        <w:rPr>
          <w:sz w:val="22"/>
          <w:szCs w:val="22"/>
        </w:rPr>
        <w:t>Históricamente, TRANSMILENIO S.A. se ha configurado como una Empresa Industrial y Comercial del Distrito estructuralmente dependiente de las transferencias del presupuesto distrital. El Marco Fiscal de Mediano Plazo señala que la participación de las transferencias dirigidas a esta empresa dentro del total de transferencias del sector descentralizado es de 0,6 % en 2022, 0,7 % en 2023 y 2024, y 0,4 % en 2025. Sin embargo, en este último año la disminución obedece a un cambio en el catálogo presupuestal, mediante el cual transferencias que se registraban como corrientes pasan a contabilizarse como transferencias de capital, sin que ello represente necesariamente una reducción efectiva del esfuerzo fiscal del Distrito. A su vez, el mismo Marco Fiscal identifica a la Empresa de Acueducto y Alcantarillado de Bogotá, a TRANSMILENIO S.A. y a la Empresa Metro de Bogotá como las EICD que más contribuyen al déficit consolidado del sector descentralizado, debido a sus elevados niveles de inversión. En consecuencia, la empresa no puede ser entendida como un operador autosostenible, sino como un gran receptor de recursos públicos que descansan en transferencias, endeudamiento y compromisos de vigencias futuras.</w:t>
      </w:r>
    </w:p>
    <w:p w:rsidR="00743DA6" w:rsidRDefault="00D95D19">
      <w:pPr>
        <w:jc w:val="center"/>
        <w:rPr>
          <w:sz w:val="18"/>
          <w:szCs w:val="18"/>
        </w:rPr>
      </w:pPr>
      <w:r>
        <w:rPr>
          <w:sz w:val="18"/>
          <w:szCs w:val="18"/>
        </w:rPr>
        <w:t>Gráfica x Histórico Presupuestal 2022- 2025 TRANSMILENIO</w:t>
      </w:r>
    </w:p>
    <w:p w:rsidR="00743DA6" w:rsidRDefault="00D95D19">
      <w:pPr>
        <w:spacing w:before="240" w:after="240" w:line="259" w:lineRule="auto"/>
        <w:jc w:val="center"/>
        <w:rPr>
          <w:sz w:val="18"/>
          <w:szCs w:val="18"/>
        </w:rPr>
      </w:pPr>
      <w:r>
        <w:rPr>
          <w:noProof/>
          <w:sz w:val="18"/>
          <w:szCs w:val="18"/>
          <w:lang w:val="es-CO"/>
        </w:rPr>
        <w:drawing>
          <wp:inline distT="114300" distB="114300" distL="114300" distR="114300">
            <wp:extent cx="5612130" cy="2628900"/>
            <wp:effectExtent l="0" t="0" r="0" b="0"/>
            <wp:docPr id="212739958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0"/>
                    <a:srcRect/>
                    <a:stretch>
                      <a:fillRect/>
                    </a:stretch>
                  </pic:blipFill>
                  <pic:spPr>
                    <a:xfrm>
                      <a:off x="0" y="0"/>
                      <a:ext cx="5612130" cy="2628900"/>
                    </a:xfrm>
                    <a:prstGeom prst="rect">
                      <a:avLst/>
                    </a:prstGeom>
                    <a:ln/>
                  </pic:spPr>
                </pic:pic>
              </a:graphicData>
            </a:graphic>
          </wp:inline>
        </w:drawing>
      </w:r>
    </w:p>
    <w:p w:rsidR="00743DA6" w:rsidRDefault="00D95D19">
      <w:pPr>
        <w:spacing w:before="240" w:after="240" w:line="259" w:lineRule="auto"/>
        <w:jc w:val="center"/>
        <w:rPr>
          <w:sz w:val="18"/>
          <w:szCs w:val="18"/>
        </w:rPr>
      </w:pPr>
      <w:r>
        <w:rPr>
          <w:b/>
          <w:bCs/>
          <w:sz w:val="18"/>
          <w:szCs w:val="18"/>
        </w:rPr>
        <w:t>Fuente:</w:t>
      </w:r>
      <w:r>
        <w:rPr>
          <w:sz w:val="18"/>
          <w:szCs w:val="18"/>
        </w:rPr>
        <w:t xml:space="preserve"> Elaboración propia (2025) con base en la información suministrada de la SDH (2025)</w:t>
      </w:r>
    </w:p>
    <w:p w:rsidR="00743DA6" w:rsidRDefault="00D95D19">
      <w:pPr>
        <w:spacing w:before="240" w:after="240" w:line="259" w:lineRule="auto"/>
        <w:jc w:val="both"/>
        <w:rPr>
          <w:sz w:val="22"/>
          <w:szCs w:val="22"/>
        </w:rPr>
      </w:pPr>
      <w:r>
        <w:rPr>
          <w:sz w:val="22"/>
          <w:szCs w:val="22"/>
        </w:rPr>
        <w:t>Desde el punto de vista financiero, TRANSMILENIO S.A. presenta un perfil que combina indicadores favorables para las calificadoras de riesgo con elementos estructuralmente frágiles. El Marco Fiscal registra una razón de endeudamiento de 80 % en 2025, asociada a la emisión de títulos de deuda por 1,9 billones de pesos, y un indicador de liquidez (activos líquidos sobre pasivo corriente) que pasa de 0,6 en 2022 y 0,7 en 2023 y primer semestre de 2024 a 0,4 en el primer semestre de 2025, evidenciando un deterioro de la capacidad para atender obligaciones de corto plazo. Paralelamente, el valor del contingente judicial de la entidad se incrementa de 120.000 millones de pesos en 2024 (296 procesos) a 148.000 millones en 2025 (292 procesos), con una variación de 23,3 % asociada a controversias de naturaleza principalmente contractual. Pese a ello, la empresa exhibe márgenes operacionales y netos crecientes, ROE elevado y una calificación AAA con perspectiva estable. Desde un enfoque de política pública esto implica que la “solidez” financiera de TRANSMILENIO descansa en gran medida en el respaldo del erario distrital y en la socialización del riesgo a través del presupuesto público, mientras las rentas derivadas de la operación se concentran en operadores y contratistas privados.</w:t>
      </w:r>
    </w:p>
    <w:p w:rsidR="00743DA6" w:rsidRDefault="00D95D19">
      <w:pPr>
        <w:spacing w:before="240" w:after="240" w:line="259" w:lineRule="auto"/>
        <w:jc w:val="both"/>
        <w:rPr>
          <w:sz w:val="22"/>
          <w:szCs w:val="22"/>
        </w:rPr>
      </w:pPr>
      <w:r>
        <w:rPr>
          <w:sz w:val="22"/>
          <w:szCs w:val="22"/>
        </w:rPr>
        <w:t>En materia de compromisos futuros, las tablas de vigencias futuras incluidas en el Marco Fiscal evidencian que TRANSMILENIO S.A. tiene aprobadas vigencias futuras ordinarias y excepcionales por más de 2,8 billones de pesos de 2025, bajo diversas normas CONFIS (14 de 2022, 22 de 2024, 12 de 2024, 12 de 2025 y 25 de 2025), distribuidas entre los cuatrienios 2024–2027, 2028–2031 y 2032–2035. Esto significa que una porción relevante del espacio fiscal de los próximos gobiernos se encuentra ya amarrada a proyectos y contratos vinculados al modelo TransMilenio, restringiendo el margen de maniobra de futuras administraciones, incluidas aquellas que pretendan reorientar la política de movilidad hacia esquemas más públicos, con tarifas más asequibles o con mayor énfasis en la economía popular y el derecho a la ciudad.</w:t>
      </w:r>
    </w:p>
    <w:p w:rsidR="00743DA6" w:rsidRDefault="00D95D19">
      <w:pPr>
        <w:spacing w:before="240" w:after="240" w:line="259" w:lineRule="auto"/>
        <w:jc w:val="both"/>
        <w:rPr>
          <w:sz w:val="22"/>
          <w:szCs w:val="22"/>
        </w:rPr>
      </w:pPr>
      <w:r>
        <w:rPr>
          <w:sz w:val="22"/>
          <w:szCs w:val="22"/>
        </w:rPr>
        <w:t>En este contexto se ubica el análisis del presupuesto de TRANSMILENIO S.A. para la vigencia 2026. De acuerdo con el Libro Cero y el Acta 30 del CONFIS Distrital, la Resolución 23 de 2025 aprueba para la empresa un presupuesto total de 12,818 billones de pesos. Por el lado de los ingresos, se desagregan 3,682 billones de pesos como disponibilidad inicial, es decir, recursos no ejecutados de la vigencia anterior; 743.531 millones de pesos como ingresos corrientes (producto de la operación y otros ingresos propios); y 8,393 billones de pesos como recursos de capital, provenientes de crédito, cofinanciación Nación–Distrito, rendimientos financieros y, eventualmente, venta de activos. En términos relativos, aproximadamente el 28,7 % de los ingresos corresponde a recursos no ejecutados de 2025, el 5,8 % a ingresos corrientes y el 65,5 % a recursos de capital. Por el lado del gasto, el presupuesto 2026 contempla 301.651 millones de pesos para funcionamiento, 37.197 millones para servicio de la deuda y 12,403 billones de pesos para inversión, lo que equivale a más del 97 % del total del gasto. La estructura evidencia que TRANSMILENIO funciona de facto como un instrumento de canalización de inversión financiada con deuda y transferencias, cuyo carácter empresarial en sentido estricto es limitado dada la baja participación de ingresos propios corrientes en el total de su financiamiento.</w:t>
      </w:r>
    </w:p>
    <w:p w:rsidR="00743DA6" w:rsidRDefault="00743DA6">
      <w:pPr>
        <w:spacing w:before="240" w:after="240" w:line="259" w:lineRule="auto"/>
        <w:jc w:val="both"/>
        <w:rPr>
          <w:sz w:val="22"/>
          <w:szCs w:val="22"/>
        </w:rPr>
      </w:pPr>
    </w:p>
    <w:p w:rsidR="00743DA6" w:rsidRDefault="00743DA6">
      <w:pPr>
        <w:spacing w:before="240" w:after="240" w:line="259" w:lineRule="auto"/>
        <w:jc w:val="both"/>
        <w:rPr>
          <w:sz w:val="22"/>
          <w:szCs w:val="22"/>
        </w:rPr>
      </w:pPr>
    </w:p>
    <w:p w:rsidR="00743DA6" w:rsidRDefault="00743DA6">
      <w:pPr>
        <w:spacing w:before="240" w:after="240" w:line="259" w:lineRule="auto"/>
        <w:jc w:val="both"/>
        <w:rPr>
          <w:sz w:val="22"/>
          <w:szCs w:val="22"/>
        </w:rPr>
      </w:pPr>
    </w:p>
    <w:p w:rsidR="00743DA6" w:rsidRDefault="00743DA6">
      <w:pPr>
        <w:spacing w:before="240" w:after="240" w:line="259" w:lineRule="auto"/>
        <w:jc w:val="both"/>
        <w:rPr>
          <w:sz w:val="22"/>
          <w:szCs w:val="22"/>
        </w:rPr>
      </w:pPr>
    </w:p>
    <w:p w:rsidR="00743DA6" w:rsidRDefault="00743DA6">
      <w:pPr>
        <w:spacing w:before="240" w:after="240" w:line="259" w:lineRule="auto"/>
        <w:rPr>
          <w:sz w:val="22"/>
          <w:szCs w:val="22"/>
        </w:rPr>
      </w:pPr>
    </w:p>
    <w:p w:rsidR="00743DA6" w:rsidRDefault="00D95D19">
      <w:pPr>
        <w:spacing w:before="240" w:after="240" w:line="276" w:lineRule="auto"/>
        <w:jc w:val="center"/>
        <w:rPr>
          <w:sz w:val="22"/>
          <w:szCs w:val="22"/>
        </w:rPr>
      </w:pPr>
      <w:r>
        <w:rPr>
          <w:b/>
          <w:bCs/>
          <w:sz w:val="22"/>
          <w:szCs w:val="22"/>
        </w:rPr>
        <w:t xml:space="preserve">Tabla No. 61 Programación Presupuestal Comparada de TRANSMILENIO Vigencia 2025 y Proyecto de Presupuesto 2026. </w:t>
      </w:r>
    </w:p>
    <w:sdt>
      <w:sdtPr>
        <w:rPr>
          <w:rFonts w:ascii="Arial" w:eastAsia="Arial" w:hAnsi="Arial" w:cs="Arial"/>
          <w:sz w:val="24"/>
          <w:szCs w:val="24"/>
          <w:lang w:val="es" w:eastAsia="es-CO"/>
        </w:rPr>
        <w:tag w:val="goog_rdk_906"/>
        <w:id w:val="411116577"/>
        <w:lock w:val="contentLocked"/>
      </w:sdtPr>
      <w:sdtEndPr/>
      <w:sdtContent>
        <w:tbl>
          <w:tblPr>
            <w:tblStyle w:val="affffffff7"/>
            <w:tblpPr w:leftFromText="180" w:rightFromText="180" w:topFromText="180" w:bottomFromText="180" w:horzAnchor="margin" w:tblpYSpec="top"/>
            <w:tblW w:w="9705" w:type="dxa"/>
            <w:tblBorders>
              <w:top w:val="nil"/>
              <w:left w:val="nil"/>
              <w:bottom w:val="nil"/>
              <w:right w:val="nil"/>
              <w:insideH w:val="nil"/>
              <w:insideV w:val="nil"/>
            </w:tblBorders>
            <w:tblLayout w:type="fixed"/>
            <w:tblLook w:val="0600" w:firstRow="0" w:lastRow="0" w:firstColumn="0" w:lastColumn="0" w:noHBand="1" w:noVBand="1"/>
          </w:tblPr>
          <w:tblGrid>
            <w:gridCol w:w="1905"/>
            <w:gridCol w:w="1545"/>
            <w:gridCol w:w="1560"/>
            <w:gridCol w:w="1590"/>
            <w:gridCol w:w="1560"/>
            <w:gridCol w:w="1545"/>
          </w:tblGrid>
          <w:tr w:rsidR="00743DA6">
            <w:trPr>
              <w:trHeight w:val="755"/>
            </w:trPr>
            <w:tc>
              <w:tcPr>
                <w:tcW w:w="190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Proyectos de inversión</w:t>
                </w:r>
              </w:p>
            </w:tc>
            <w:tc>
              <w:tcPr>
                <w:tcW w:w="154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 xml:space="preserve"> Presupuesto programado para el 2025 </w:t>
                </w:r>
              </w:p>
            </w:tc>
            <w:tc>
              <w:tcPr>
                <w:tcW w:w="156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 xml:space="preserve"> Presupuesto comprometido para el 2025 </w:t>
                </w:r>
              </w:p>
            </w:tc>
            <w:tc>
              <w:tcPr>
                <w:tcW w:w="159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 xml:space="preserve"> Presupuesto girados para el 2025</w:t>
                </w:r>
              </w:p>
            </w:tc>
            <w:tc>
              <w:tcPr>
                <w:tcW w:w="156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 xml:space="preserve">  Presupuesto programado para el 2026 </w:t>
                </w:r>
              </w:p>
            </w:tc>
            <w:tc>
              <w:tcPr>
                <w:tcW w:w="154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 xml:space="preserve"> Diferencia entre lo programado en el 2025 con lo programado en el 2026</w:t>
                </w:r>
              </w:p>
            </w:tc>
          </w:tr>
          <w:tr w:rsidR="00743DA6">
            <w:trPr>
              <w:trHeight w:val="1090"/>
            </w:trPr>
            <w:tc>
              <w:tcPr>
                <w:tcW w:w="1905" w:type="dxa"/>
                <w:tcBorders>
                  <w:top w:val="single" w:sz="8" w:space="0" w:color="000000"/>
                  <w:left w:val="single" w:sz="8" w:space="0" w:color="000000"/>
                  <w:bottom w:val="single" w:sz="8" w:space="0" w:color="000000"/>
                  <w:right w:val="single" w:sz="8" w:space="0" w:color="000000"/>
                </w:tcBorders>
              </w:tcPr>
              <w:p w:rsidR="00743DA6" w:rsidRDefault="00D95D19">
                <w:pPr>
                  <w:spacing w:line="259" w:lineRule="auto"/>
                  <w:jc w:val="center"/>
                  <w:rPr>
                    <w:rFonts w:ascii="Arial" w:eastAsia="Arial" w:hAnsi="Arial" w:cs="Arial"/>
                    <w:sz w:val="18"/>
                    <w:szCs w:val="18"/>
                  </w:rPr>
                </w:pPr>
                <w:r>
                  <w:rPr>
                    <w:rFonts w:ascii="Arial" w:eastAsia="Arial" w:hAnsi="Arial" w:cs="Arial"/>
                    <w:sz w:val="18"/>
                    <w:szCs w:val="18"/>
                  </w:rPr>
                  <w:t>Control y Operación del Sistema Integrado de Transporte Público de Bogotá</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$ 3.950.684,66</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$3.331.380,18</w:t>
                </w:r>
              </w:p>
            </w:tc>
            <w:tc>
              <w:tcPr>
                <w:tcW w:w="159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$3.119.614,85</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$4.096.141,62</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$145.456,96</w:t>
                </w:r>
              </w:p>
            </w:tc>
          </w:tr>
          <w:tr w:rsidR="00743DA6">
            <w:trPr>
              <w:trHeight w:val="455"/>
            </w:trPr>
            <w:tc>
              <w:tcPr>
                <w:tcW w:w="1905" w:type="dxa"/>
                <w:tcBorders>
                  <w:top w:val="single" w:sz="8" w:space="0" w:color="000000"/>
                  <w:left w:val="single" w:sz="8" w:space="0" w:color="000000"/>
                  <w:bottom w:val="single" w:sz="8" w:space="0" w:color="000000"/>
                  <w:right w:val="single" w:sz="8" w:space="0" w:color="000000"/>
                </w:tcBorders>
              </w:tcPr>
              <w:p w:rsidR="00743DA6" w:rsidRDefault="00D95D19">
                <w:pPr>
                  <w:spacing w:line="259" w:lineRule="auto"/>
                  <w:jc w:val="center"/>
                  <w:rPr>
                    <w:rFonts w:ascii="Arial" w:eastAsia="Arial" w:hAnsi="Arial" w:cs="Arial"/>
                    <w:sz w:val="18"/>
                    <w:szCs w:val="18"/>
                  </w:rPr>
                </w:pPr>
                <w:r>
                  <w:rPr>
                    <w:rFonts w:ascii="Arial" w:eastAsia="Arial" w:hAnsi="Arial" w:cs="Arial"/>
                    <w:sz w:val="18"/>
                    <w:szCs w:val="18"/>
                  </w:rPr>
                  <w:t>Desarrollo del Modelo de Gestión Institucional en TRANSMILENIO S.A. en Bogotá D.C.</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$4.168,05</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$1.992,84</w:t>
                </w:r>
              </w:p>
            </w:tc>
            <w:tc>
              <w:tcPr>
                <w:tcW w:w="159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1.103,74</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5.584,57</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1.416,52</w:t>
                </w:r>
              </w:p>
            </w:tc>
          </w:tr>
          <w:tr w:rsidR="00743DA6">
            <w:trPr>
              <w:trHeight w:val="455"/>
            </w:trPr>
            <w:tc>
              <w:tcPr>
                <w:tcW w:w="1905" w:type="dxa"/>
                <w:tcBorders>
                  <w:top w:val="single" w:sz="8" w:space="0" w:color="000000"/>
                  <w:left w:val="single" w:sz="8" w:space="0" w:color="000000"/>
                  <w:bottom w:val="single" w:sz="8" w:space="0" w:color="000000"/>
                  <w:right w:val="single" w:sz="8" w:space="0" w:color="000000"/>
                </w:tcBorders>
              </w:tcPr>
              <w:p w:rsidR="00743DA6" w:rsidRDefault="00D95D19">
                <w:pPr>
                  <w:spacing w:line="259" w:lineRule="auto"/>
                  <w:jc w:val="center"/>
                  <w:rPr>
                    <w:rFonts w:ascii="Arial" w:eastAsia="Arial" w:hAnsi="Arial" w:cs="Arial"/>
                    <w:sz w:val="18"/>
                    <w:szCs w:val="18"/>
                  </w:rPr>
                </w:pPr>
                <w:r>
                  <w:rPr>
                    <w:rFonts w:ascii="Arial" w:eastAsia="Arial" w:hAnsi="Arial" w:cs="Arial"/>
                    <w:sz w:val="18"/>
                    <w:szCs w:val="18"/>
                  </w:rPr>
                  <w:t>Desarrollo y explotación colateral del Sistema Integrado de Transporte Público de Bogotá D.C.</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$6.189,00</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$1.270,60</w:t>
                </w:r>
              </w:p>
            </w:tc>
            <w:tc>
              <w:tcPr>
                <w:tcW w:w="159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43,91</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9.700,00</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3.511,00</w:t>
                </w:r>
              </w:p>
            </w:tc>
          </w:tr>
          <w:tr w:rsidR="00743DA6">
            <w:trPr>
              <w:trHeight w:val="455"/>
            </w:trPr>
            <w:tc>
              <w:tcPr>
                <w:tcW w:w="1905" w:type="dxa"/>
                <w:tcBorders>
                  <w:top w:val="single" w:sz="8" w:space="0" w:color="000000"/>
                  <w:left w:val="single" w:sz="8" w:space="0" w:color="000000"/>
                  <w:bottom w:val="single" w:sz="8" w:space="0" w:color="000000"/>
                  <w:right w:val="single" w:sz="8" w:space="0" w:color="000000"/>
                </w:tcBorders>
              </w:tcPr>
              <w:p w:rsidR="00743DA6" w:rsidRDefault="00D95D19">
                <w:pPr>
                  <w:spacing w:line="259" w:lineRule="auto"/>
                  <w:jc w:val="center"/>
                  <w:rPr>
                    <w:rFonts w:ascii="Arial" w:eastAsia="Arial" w:hAnsi="Arial" w:cs="Arial"/>
                    <w:sz w:val="18"/>
                    <w:szCs w:val="18"/>
                  </w:rPr>
                </w:pPr>
                <w:r>
                  <w:rPr>
                    <w:rFonts w:ascii="Arial" w:eastAsia="Arial" w:hAnsi="Arial" w:cs="Arial"/>
                    <w:sz w:val="18"/>
                    <w:szCs w:val="18"/>
                  </w:rPr>
                  <w:t>Desarrollo y Gestión de la Infraestructura del Sistema Integrado de Transporte Público de Bogotá</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$5.725.226,82</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$3.795.123,19</w:t>
                </w:r>
              </w:p>
            </w:tc>
            <w:tc>
              <w:tcPr>
                <w:tcW w:w="159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840.372,34</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7.728.440,02</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2.003.213,20</w:t>
                </w:r>
              </w:p>
            </w:tc>
          </w:tr>
          <w:tr w:rsidR="00743DA6">
            <w:trPr>
              <w:trHeight w:val="455"/>
            </w:trPr>
            <w:tc>
              <w:tcPr>
                <w:tcW w:w="1905" w:type="dxa"/>
                <w:tcBorders>
                  <w:top w:val="single" w:sz="8" w:space="0" w:color="000000"/>
                  <w:left w:val="single" w:sz="8" w:space="0" w:color="000000"/>
                  <w:bottom w:val="single" w:sz="8" w:space="0" w:color="000000"/>
                  <w:right w:val="single" w:sz="8" w:space="0" w:color="000000"/>
                </w:tcBorders>
              </w:tcPr>
              <w:p w:rsidR="00743DA6" w:rsidRDefault="00D95D19">
                <w:pPr>
                  <w:spacing w:line="259" w:lineRule="auto"/>
                  <w:jc w:val="center"/>
                  <w:rPr>
                    <w:rFonts w:ascii="Arial" w:eastAsia="Arial" w:hAnsi="Arial" w:cs="Arial"/>
                    <w:sz w:val="18"/>
                    <w:szCs w:val="18"/>
                  </w:rPr>
                </w:pPr>
                <w:r>
                  <w:rPr>
                    <w:rFonts w:ascii="Arial" w:eastAsia="Arial" w:hAnsi="Arial" w:cs="Arial"/>
                    <w:sz w:val="18"/>
                    <w:szCs w:val="18"/>
                  </w:rPr>
                  <w:t>Diseño y Estructuración del Sistema Interoperable de Recaudo en su componente tecnológico en el Sistema de Transporte Público de Bogotá D.C.</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$81.365,80</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$65.575,03</w:t>
                </w:r>
              </w:p>
            </w:tc>
            <w:tc>
              <w:tcPr>
                <w:tcW w:w="159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23.811,75</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91.678,36</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10.312,56</w:t>
                </w:r>
              </w:p>
            </w:tc>
          </w:tr>
          <w:tr w:rsidR="00743DA6">
            <w:trPr>
              <w:trHeight w:val="455"/>
            </w:trPr>
            <w:tc>
              <w:tcPr>
                <w:tcW w:w="1905" w:type="dxa"/>
                <w:tcBorders>
                  <w:top w:val="single" w:sz="8" w:space="0" w:color="000000"/>
                  <w:left w:val="single" w:sz="8" w:space="0" w:color="000000"/>
                  <w:bottom w:val="single" w:sz="8" w:space="0" w:color="000000"/>
                  <w:right w:val="single" w:sz="8" w:space="0" w:color="000000"/>
                </w:tcBorders>
              </w:tcPr>
              <w:p w:rsidR="00743DA6" w:rsidRDefault="00D95D19">
                <w:pPr>
                  <w:spacing w:line="259" w:lineRule="auto"/>
                  <w:jc w:val="center"/>
                  <w:rPr>
                    <w:rFonts w:ascii="Arial" w:eastAsia="Arial" w:hAnsi="Arial" w:cs="Arial"/>
                    <w:sz w:val="18"/>
                    <w:szCs w:val="18"/>
                  </w:rPr>
                </w:pPr>
                <w:r>
                  <w:rPr>
                    <w:rFonts w:ascii="Arial" w:eastAsia="Arial" w:hAnsi="Arial" w:cs="Arial"/>
                    <w:sz w:val="18"/>
                    <w:szCs w:val="18"/>
                  </w:rPr>
                  <w:t>Fortalecimiento de la cultura ciudadana en el Sistema Integrado de Transporte Público de Bogotá D.C.</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$7.839,40</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$7.839,40</w:t>
                </w:r>
              </w:p>
            </w:tc>
            <w:tc>
              <w:tcPr>
                <w:tcW w:w="159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7.839,40</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7.600,00</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239,40</w:t>
                </w:r>
              </w:p>
            </w:tc>
          </w:tr>
          <w:tr w:rsidR="00743DA6">
            <w:trPr>
              <w:trHeight w:val="455"/>
            </w:trPr>
            <w:tc>
              <w:tcPr>
                <w:tcW w:w="1905" w:type="dxa"/>
                <w:tcBorders>
                  <w:top w:val="single" w:sz="8" w:space="0" w:color="000000"/>
                  <w:left w:val="single" w:sz="8" w:space="0" w:color="000000"/>
                  <w:bottom w:val="single" w:sz="8" w:space="0" w:color="000000"/>
                  <w:right w:val="single" w:sz="8" w:space="0" w:color="000000"/>
                </w:tcBorders>
              </w:tcPr>
              <w:p w:rsidR="00743DA6" w:rsidRDefault="00D95D19">
                <w:pPr>
                  <w:spacing w:line="259" w:lineRule="auto"/>
                  <w:jc w:val="center"/>
                  <w:rPr>
                    <w:rFonts w:ascii="Arial" w:eastAsia="Arial" w:hAnsi="Arial" w:cs="Arial"/>
                    <w:sz w:val="18"/>
                    <w:szCs w:val="18"/>
                  </w:rPr>
                </w:pPr>
                <w:r>
                  <w:rPr>
                    <w:rFonts w:ascii="Arial" w:eastAsia="Arial" w:hAnsi="Arial" w:cs="Arial"/>
                    <w:sz w:val="18"/>
                    <w:szCs w:val="18"/>
                  </w:rPr>
                  <w:t>Fortalecimiento de la Información, Comunicación y Atención al Usuario en el uso del Sistema Integrado de Transporte Público de Bogotá D.C.</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$32.164,20</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$22.768,58</w:t>
                </w:r>
              </w:p>
            </w:tc>
            <w:tc>
              <w:tcPr>
                <w:tcW w:w="159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16.922,12</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37.866,15</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5.701,95</w:t>
                </w:r>
              </w:p>
            </w:tc>
          </w:tr>
          <w:tr w:rsidR="00743DA6">
            <w:trPr>
              <w:trHeight w:val="455"/>
            </w:trPr>
            <w:tc>
              <w:tcPr>
                <w:tcW w:w="1905" w:type="dxa"/>
                <w:tcBorders>
                  <w:top w:val="single" w:sz="8" w:space="0" w:color="000000"/>
                  <w:left w:val="single" w:sz="8" w:space="0" w:color="000000"/>
                  <w:bottom w:val="single" w:sz="8" w:space="0" w:color="000000"/>
                  <w:right w:val="single" w:sz="8" w:space="0" w:color="000000"/>
                </w:tcBorders>
              </w:tcPr>
              <w:p w:rsidR="00743DA6" w:rsidRDefault="00D95D19">
                <w:pPr>
                  <w:spacing w:line="259" w:lineRule="auto"/>
                  <w:jc w:val="center"/>
                  <w:rPr>
                    <w:rFonts w:ascii="Arial" w:eastAsia="Arial" w:hAnsi="Arial" w:cs="Arial"/>
                    <w:sz w:val="18"/>
                    <w:szCs w:val="18"/>
                  </w:rPr>
                </w:pPr>
                <w:r>
                  <w:rPr>
                    <w:rFonts w:ascii="Arial" w:eastAsia="Arial" w:hAnsi="Arial" w:cs="Arial"/>
                    <w:sz w:val="18"/>
                    <w:szCs w:val="18"/>
                  </w:rPr>
                  <w:t>Fortalecimiento de la seguridad integral del Sistema Integrado de Transporte Público de Bogotá D.C.</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$188.387,17</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$171.729,31</w:t>
                </w:r>
              </w:p>
            </w:tc>
            <w:tc>
              <w:tcPr>
                <w:tcW w:w="159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105.820,63</w:t>
                </w:r>
              </w:p>
            </w:tc>
            <w:tc>
              <w:tcPr>
                <w:tcW w:w="1560"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245.414,84</w:t>
                </w:r>
              </w:p>
            </w:tc>
            <w:tc>
              <w:tcPr>
                <w:tcW w:w="1545" w:type="dxa"/>
                <w:tcBorders>
                  <w:top w:val="single" w:sz="8" w:space="0" w:color="000000"/>
                  <w:left w:val="single" w:sz="8" w:space="0" w:color="000000"/>
                  <w:bottom w:val="single" w:sz="8" w:space="0" w:color="000000"/>
                  <w:right w:val="single" w:sz="8" w:space="0" w:color="000000"/>
                </w:tcBorders>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57.027,68</w:t>
                </w:r>
              </w:p>
            </w:tc>
          </w:tr>
          <w:tr w:rsidR="00743DA6">
            <w:trPr>
              <w:trHeight w:val="455"/>
            </w:trPr>
            <w:tc>
              <w:tcPr>
                <w:tcW w:w="190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jc w:val="center"/>
                  <w:rPr>
                    <w:rFonts w:ascii="Arial" w:eastAsia="Arial" w:hAnsi="Arial" w:cs="Arial"/>
                    <w:sz w:val="18"/>
                    <w:szCs w:val="18"/>
                  </w:rPr>
                </w:pPr>
                <w:r>
                  <w:rPr>
                    <w:rFonts w:ascii="Arial" w:eastAsia="Arial" w:hAnsi="Arial" w:cs="Arial"/>
                    <w:sz w:val="18"/>
                    <w:szCs w:val="18"/>
                  </w:rPr>
                  <w:t>Total general</w:t>
                </w:r>
              </w:p>
            </w:tc>
            <w:tc>
              <w:tcPr>
                <w:tcW w:w="154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$9.996.025,11</w:t>
                </w:r>
              </w:p>
            </w:tc>
            <w:tc>
              <w:tcPr>
                <w:tcW w:w="156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$7.397.679,13</w:t>
                </w:r>
              </w:p>
            </w:tc>
            <w:tc>
              <w:tcPr>
                <w:tcW w:w="159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4.115.528,74</w:t>
                </w:r>
              </w:p>
            </w:tc>
            <w:tc>
              <w:tcPr>
                <w:tcW w:w="156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12.222.425,57</w:t>
                </w:r>
              </w:p>
            </w:tc>
            <w:tc>
              <w:tcPr>
                <w:tcW w:w="154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sz w:val="18"/>
                    <w:szCs w:val="18"/>
                  </w:rPr>
                  <w:t>$       2.226.400,47</w:t>
                </w:r>
              </w:p>
            </w:tc>
          </w:tr>
        </w:tbl>
      </w:sdtContent>
    </w:sdt>
    <w:p w:rsidR="00743DA6" w:rsidRDefault="00D95D19">
      <w:pPr>
        <w:spacing w:before="240" w:after="240" w:line="276" w:lineRule="auto"/>
        <w:jc w:val="center"/>
        <w:rPr>
          <w:sz w:val="18"/>
          <w:szCs w:val="18"/>
        </w:rPr>
      </w:pPr>
      <w:r>
        <w:rPr>
          <w:b/>
          <w:bCs/>
          <w:sz w:val="18"/>
          <w:szCs w:val="18"/>
        </w:rPr>
        <w:t>Fuente:</w:t>
      </w:r>
      <w:r>
        <w:rPr>
          <w:sz w:val="18"/>
          <w:szCs w:val="18"/>
        </w:rPr>
        <w:t xml:space="preserve"> Elaboración propia (2025) con base en la matriz comparativa de la Secretaría Distrital de Hacienda (2025).</w:t>
      </w:r>
    </w:p>
    <w:p w:rsidR="00743DA6" w:rsidRDefault="00D95D19">
      <w:pPr>
        <w:spacing w:before="240" w:after="240" w:line="259" w:lineRule="auto"/>
        <w:jc w:val="both"/>
        <w:rPr>
          <w:sz w:val="22"/>
          <w:szCs w:val="22"/>
        </w:rPr>
      </w:pPr>
      <w:r>
        <w:rPr>
          <w:sz w:val="22"/>
          <w:szCs w:val="22"/>
        </w:rPr>
        <w:t>La lectura de esta estructura debe ponerse en relación con el comportamiento de la ejecución presupuestal en 2025. Según las matrices de programación y ejecución suministradas, la suma de todos los proyectos, metas y actividades arroja para 2025 un monto programado de 9,996 billones de pesos, compromisos por 7,398 billones (es decir, el 74 % de lo programado) y giros por 4,116 billones, equivalentes al 41 % del monto programado y al 56 % de lo comprometido. Esto implica que cerca de 2,6 billones de pesos programados en 2025 no llegaron a ser comprometidos, y que alrededor de 5,9 billones no fueron efectivamente girados frente a la programación inicial. A pesar de esta subejecución, la programación para 2026 asciende a 12,222 billones de pesos, lo que representa un incremento del orden de 22,3 % frente a 2025. Desde un enfoque técnico, esto sugiere una disociación entre el tamaño de la inversión proyectada y la capacidad real de ejecución demostrada por la entidad, y configura un patrón de sobreprogramación que se soporta en la acumulación de disponibilidades iniciales y en la expansión de recursos de capital.</w:t>
      </w:r>
    </w:p>
    <w:p w:rsidR="00743DA6" w:rsidRDefault="00D95D19">
      <w:pPr>
        <w:spacing w:before="240" w:after="240" w:line="259" w:lineRule="auto"/>
        <w:jc w:val="both"/>
        <w:rPr>
          <w:sz w:val="22"/>
          <w:szCs w:val="22"/>
        </w:rPr>
      </w:pPr>
      <w:r>
        <w:rPr>
          <w:sz w:val="22"/>
          <w:szCs w:val="22"/>
        </w:rPr>
        <w:t>La desagregación por proyectos muestra con mayor nitidez las prioridades efectivas de la asignación. El proyecto “Desarrollo y Gestión de la Infraestructura del Sistema Integrado de Transporte Público de Bogotá” (código 7251) pasa de una programación de 5,725 billones de pesos en 2025 a 7,728 billones en 2026, con un aumento de aproximadamente 2,003 billones (alrededor de 35 %). El proyecto “Control y Operación del Sistema Integrado de Transporte Público de Bogotá” (código 7223) incrementa su programación en torno al 3,7 %. El proyecto “Fortalecimiento de la seguridad integral del Sistema Integrado de Transporte Público de Bogotá D.C.” (código 7522) crece cerca del 30,3 %. El proyecto “Desarrollo y explotación colateral del Sistema Integrado de Transporte Público de Bogotá D.C.” (código 7541), relacionado con Proyectos de Renovación Urbana para la Movilidad Sostenible, complejos de intercambio modal y modelos de captura de valor, aumenta su programación en alrededor de 56,7 %, a pesar de haber presentado giros casi nulos en 2025. Adicionalmente, el proyecto de “Desarrollo del Modelo de Gestión Institucional en TRANSMILENIO S.A.” (código 7523) crece en el orden del 34 %.</w:t>
      </w:r>
    </w:p>
    <w:p w:rsidR="00743DA6" w:rsidRDefault="00D95D19">
      <w:pPr>
        <w:spacing w:before="240" w:after="240" w:line="259" w:lineRule="auto"/>
        <w:jc w:val="both"/>
        <w:rPr>
          <w:sz w:val="22"/>
          <w:szCs w:val="22"/>
        </w:rPr>
      </w:pPr>
      <w:r>
        <w:rPr>
          <w:sz w:val="22"/>
          <w:szCs w:val="22"/>
        </w:rPr>
        <w:t>En contraste, el proyecto de “Fortalecimiento de la cultura ciudadana en el Sistema Integrado de Transporte Público de Bogotá D.C.” (código 7527), que en 2025 registró ejecución perfecta de compromisos y giros sobre lo programado, presenta una reducción de su programación en 2026 del orden del 3 %. Las líneas asociadas a información, comunicación y atención al usuario, género y violencias basadas en género, participación ciudadana e inclusión, si bien muestran incrementos puntuales, siguen representando montos marginales frente a la magnitud total del presupuesto. Esto se confirma al observar los montos asignados a los trazadores de política pública: 585 millones de pesos asociados al Trazador de Igualdad y Equidad de Género, 151 millones al Trazador de Grupos Étnicos y 7.600 millones al Trazador de Cultura Ciudadana, cifras que resultan extremadamente reducidas frente a un presupuesto global de 12,8 billones de pesos.</w:t>
      </w:r>
    </w:p>
    <w:p w:rsidR="00743DA6" w:rsidRDefault="00D95D19">
      <w:pPr>
        <w:spacing w:before="240" w:after="240" w:line="259" w:lineRule="auto"/>
        <w:jc w:val="both"/>
        <w:rPr>
          <w:sz w:val="22"/>
          <w:szCs w:val="22"/>
        </w:rPr>
      </w:pPr>
      <w:r>
        <w:rPr>
          <w:sz w:val="22"/>
          <w:szCs w:val="22"/>
        </w:rPr>
        <w:t>La situación se vuelve más preocupante cuando se examina la relación entre ejecución 2025 y programación 2026 en metas específicas. Por ejemplo, la meta de alcanzar 32 kilómetros contratados de troncales con perspectiva de integración regional (meta 2198) tiene una programación 2025 de 2,292 billones de pesos, giros de apenas 32.997 millones (aproximadamente 1,4 % de lo programado) y un avance de vigencia del 22,5 %, pero su programación para 2026 asciende a 3,882 billones de pesos, con un incremento cercano al 69,3 %. La meta de contratar una línea de cable (Cable Potosí, meta 2205) presenta en 2025 compromisos prácticamente equivalentes a lo programado pero giros de apenas 165 millones de pesos, y aun así su programación 2026 crece en cerca de 335 %. Metas como la mejora de patios del SITP (2226) y la intervención de paraderos (2225) registran giros por debajo del 5 % de lo programado en 2025, pero incrementos de programación de 121 % y 16 % respectivamente para 2026. Se trata de un patrón recurrente en el que los proyectos y actividades con menor nivel de ejecución financiera en la vigencia anterior son precisamente aquellos a los que se les incrementan de forma más agresiva los recursos en la vigencia siguiente, sin que se evidencie una justificación clara en términos de cambios en el cronograma, capacidad instalada o superación de obstáculos técnicos y contractuales.</w:t>
      </w:r>
    </w:p>
    <w:p w:rsidR="00743DA6" w:rsidRDefault="00D95D19">
      <w:pPr>
        <w:spacing w:before="240" w:after="240" w:line="259" w:lineRule="auto"/>
        <w:jc w:val="both"/>
        <w:rPr>
          <w:sz w:val="22"/>
          <w:szCs w:val="22"/>
        </w:rPr>
      </w:pPr>
      <w:r>
        <w:rPr>
          <w:sz w:val="22"/>
          <w:szCs w:val="22"/>
        </w:rPr>
        <w:t>A ello se suma un problema de transparencia programática: al comparar la inversión total aprobada para TRANSMILENIO en 2026 por el CONFIS (12,403 billones de pesos) con la suma de la programación por metas y actividades incluida en las matrices (12,222 billones), se identifica una diferencia del orden de 180.000 millones de pesos que no se encuentra claramente asociada a metas de producto visibles. Esta brecha dificulta el seguimiento y el control político sobre el destino de esos recursos y exige explicaciones detalladas por parte de la administración.</w:t>
      </w:r>
    </w:p>
    <w:p w:rsidR="00743DA6" w:rsidRDefault="00D95D19">
      <w:pPr>
        <w:spacing w:before="240" w:after="240" w:line="259" w:lineRule="auto"/>
        <w:jc w:val="both"/>
        <w:rPr>
          <w:sz w:val="22"/>
          <w:szCs w:val="22"/>
        </w:rPr>
      </w:pPr>
      <w:r>
        <w:rPr>
          <w:sz w:val="22"/>
          <w:szCs w:val="22"/>
        </w:rPr>
        <w:t>Los hallazgos descritos permiten formular varias alertas. En primer lugar, se consolida un modelo en el cual la supuesta solidez financiera de TRANSMILENIO se apoya en el endeudamiento, las transferencias y los compromisos de vigencias futuras, mientras las tarifas y el presupuesto distrital soportan los costos del sistema, y buena parte de las rentas asociadas a la operación y la infraestructura se canalizan mediante contratos de largo plazo que favorecen a los operadores privados. En segundo lugar, el incremento de la programación de inversión para 2026, pese a la fuerte subejecución de 2025, sugiere que no se está realizando un ajuste realista entre las metas de inversión y la capacidad de ejecución de la entidad, lo que en la práctica tiende a reproducir una dinámica de grandes anuncios de obra y baja materialización efectiva en los territorios que más requieren mejoras concretas.</w:t>
      </w:r>
    </w:p>
    <w:p w:rsidR="00743DA6" w:rsidRDefault="00D95D19">
      <w:pPr>
        <w:spacing w:before="240" w:after="240" w:line="259" w:lineRule="auto"/>
        <w:jc w:val="both"/>
        <w:rPr>
          <w:sz w:val="22"/>
          <w:szCs w:val="22"/>
        </w:rPr>
      </w:pPr>
      <w:r>
        <w:rPr>
          <w:sz w:val="22"/>
          <w:szCs w:val="22"/>
        </w:rPr>
        <w:t>En tercer lugar, la distribución del gasto reproduce un sesgo estructural a favor de la obra dura y de los contratos de infraestructura y operación, en detrimento de los componentes de cultura ciudadana, género, cuidado, atención al usuario, seguridad humana y economía popular. La reducción de la línea de cultura ciudadana, pese a su ejecución perfecta, y el carácter marginal de las asignaciones en los trazadores de género y grupos étnicos, revelan una brecha entre el discurso de “movilidad digna, segura e inclusiva” y la asignación efectiva de recursos. En cuarto lugar, la magnitud de las vigencias futuras aprobadas y el nivel de endeudamiento comprometen el margen de maniobra de futuros gobiernos para transformar el modelo de movilidad, lo que implica que cualquier proyecto alternativo para la ciudad en próximos años deberá enfrentar un entramado contractual y financiero heredado, que limita la posibilidad de reorientar recursos hacia operadores públicos, esquemas tarifarios más justos o inversiones más directamente vinculadas al bienestar de los usuarios y de las comunidades.</w:t>
      </w:r>
    </w:p>
    <w:p w:rsidR="00743DA6" w:rsidRDefault="00D95D19">
      <w:pPr>
        <w:spacing w:before="240" w:after="240" w:line="259" w:lineRule="auto"/>
        <w:jc w:val="both"/>
        <w:rPr>
          <w:sz w:val="22"/>
          <w:szCs w:val="22"/>
        </w:rPr>
      </w:pPr>
      <w:r>
        <w:rPr>
          <w:sz w:val="22"/>
          <w:szCs w:val="22"/>
        </w:rPr>
        <w:t>Finalmente, la existencia de recursos de inversión no claramente asociados a metas de producto, los cambios en la clasificación de las transferencias y la ausencia de una discusión abierta en el Libro Cero sobre la estructura de deuda, las contingencias judiciales y los compromisos de vigencias futuras, configuran un escenario en el que el control político y social se dificulta, y donde la ciudadanía no cuenta con toda la información necesaria para evaluar de manera informada el uso de los recursos del sistema.</w:t>
      </w:r>
    </w:p>
    <w:p w:rsidR="00743DA6" w:rsidRDefault="00D95D19">
      <w:pPr>
        <w:numPr>
          <w:ilvl w:val="0"/>
          <w:numId w:val="34"/>
        </w:numPr>
        <w:pBdr>
          <w:top w:val="nil"/>
          <w:left w:val="nil"/>
          <w:bottom w:val="nil"/>
          <w:right w:val="nil"/>
          <w:between w:val="nil"/>
        </w:pBdr>
        <w:spacing w:line="259" w:lineRule="auto"/>
        <w:jc w:val="both"/>
        <w:rPr>
          <w:b/>
          <w:bCs/>
          <w:sz w:val="22"/>
          <w:szCs w:val="22"/>
        </w:rPr>
      </w:pPr>
      <w:r>
        <w:rPr>
          <w:sz w:val="22"/>
          <w:szCs w:val="22"/>
        </w:rPr>
        <w:t xml:space="preserve">Frente a este panorama, cuestionamos no solo la magnitud de la inversión, sino el modelo mismo de financiación y gobernanza de TRANSMILENIO S.A., exigimos explicaciones precisas sobre la brecha entre programación y ejecución, demandamos mayor transparencia sobre los recursos no asociados a metas y sobre las vigencias futuras, y a impulsar una reorientación estructural del presupuesto asignado a la empresa para que la movilidad sea efectivamente un derecho al servicio de la vida digna, la economía popular, el cuidado y la justicia territorial, y no un dispositivo de socialización de pérdidas y privatización de ganancias. </w:t>
      </w:r>
      <w:r>
        <w:rPr>
          <w:b/>
          <w:bCs/>
          <w:color w:val="000000"/>
          <w:sz w:val="22"/>
          <w:szCs w:val="22"/>
          <w:u w:val="single"/>
        </w:rPr>
        <w:t>Empresa Metro de Bogotá S.A.</w:t>
      </w:r>
    </w:p>
    <w:p w:rsidR="00743DA6" w:rsidRDefault="00743DA6">
      <w:pPr>
        <w:pBdr>
          <w:top w:val="nil"/>
          <w:left w:val="nil"/>
          <w:bottom w:val="nil"/>
          <w:right w:val="nil"/>
          <w:between w:val="nil"/>
        </w:pBdr>
        <w:spacing w:line="259" w:lineRule="auto"/>
        <w:jc w:val="both"/>
        <w:rPr>
          <w:sz w:val="22"/>
          <w:szCs w:val="22"/>
        </w:rPr>
      </w:pPr>
    </w:p>
    <w:p w:rsidR="00743DA6" w:rsidRDefault="00D95D19">
      <w:pPr>
        <w:spacing w:before="240" w:after="240" w:line="259" w:lineRule="auto"/>
        <w:jc w:val="both"/>
        <w:rPr>
          <w:sz w:val="22"/>
          <w:szCs w:val="22"/>
        </w:rPr>
      </w:pPr>
      <w:r>
        <w:rPr>
          <w:sz w:val="22"/>
          <w:szCs w:val="22"/>
        </w:rPr>
        <w:t>Desde una mirada histórica reciente, el comparativo global por entidad muestra que el presupuesto de la Empresa Metro de Bogotá S.A. pasa de aproximadamente $1,528,744 millones en 2022 a $2,705,739 millones en 2023, desciende a $1,865,939 millones en 2024 (cifras en millones de pesos). Frente a esa trayectoria, el salto a 2026 es de una magnitud cualitativamente distinta: el CONFIS Distrital, según el Acta 30 de 2025, aprueba para la EMB un presupuesto de rentas, ingresos, gastos e inversiones por $8,531,198,050,000, es decir, del orden de 8,53 billones de pesos corrientes. Ello implica multiplicar por más de tres veces el máximo observado en 2023. Este salto no es un evento aislado: se inscribe en una arquitectura financiera de largo plazo que viene marcada por el Acuerdo 691 de 2017, que autorizó vigencias futuras ordinarias para la cofinanciación de la Primera Línea del Metro por 2018–2041, y por nuevas vigencias futuras ordinarias y excepcionales reseñadas en el Marco Fiscal de Mediano Plazo, en donde se reconoce que la Empresa Metro de Bogotá, junto con la EAAB y TransMilenio, es una de las Empresas Industriales y Comerciales del Distrito que más contribuyen al déficit consolidado por los elevados niveles de inversión comprometedores de recursos de varias administraciones futuras.</w:t>
      </w:r>
    </w:p>
    <w:p w:rsidR="00743DA6" w:rsidRDefault="00D95D19">
      <w:pPr>
        <w:jc w:val="center"/>
        <w:rPr>
          <w:sz w:val="18"/>
          <w:szCs w:val="18"/>
        </w:rPr>
      </w:pPr>
      <w:r>
        <w:rPr>
          <w:sz w:val="18"/>
          <w:szCs w:val="18"/>
        </w:rPr>
        <w:t xml:space="preserve">Gráfica x Histórico Presupuestal 2022- 2025 Empresa Metro </w:t>
      </w:r>
    </w:p>
    <w:p w:rsidR="00743DA6" w:rsidRDefault="00D95D19">
      <w:pPr>
        <w:spacing w:before="240" w:after="240" w:line="259" w:lineRule="auto"/>
        <w:jc w:val="center"/>
        <w:rPr>
          <w:sz w:val="18"/>
          <w:szCs w:val="18"/>
        </w:rPr>
      </w:pPr>
      <w:r>
        <w:rPr>
          <w:noProof/>
          <w:sz w:val="18"/>
          <w:szCs w:val="18"/>
          <w:lang w:val="es-CO"/>
        </w:rPr>
        <w:drawing>
          <wp:inline distT="114300" distB="114300" distL="114300" distR="114300">
            <wp:extent cx="5612130" cy="3340100"/>
            <wp:effectExtent l="0" t="0" r="0" b="0"/>
            <wp:docPr id="2127399609"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51"/>
                    <a:srcRect/>
                    <a:stretch>
                      <a:fillRect/>
                    </a:stretch>
                  </pic:blipFill>
                  <pic:spPr>
                    <a:xfrm>
                      <a:off x="0" y="0"/>
                      <a:ext cx="5612130" cy="3340100"/>
                    </a:xfrm>
                    <a:prstGeom prst="rect">
                      <a:avLst/>
                    </a:prstGeom>
                    <a:ln/>
                  </pic:spPr>
                </pic:pic>
              </a:graphicData>
            </a:graphic>
          </wp:inline>
        </w:drawing>
      </w:r>
    </w:p>
    <w:p w:rsidR="00743DA6" w:rsidRDefault="00D95D19">
      <w:pPr>
        <w:spacing w:before="240" w:after="240" w:line="259" w:lineRule="auto"/>
        <w:jc w:val="center"/>
        <w:rPr>
          <w:sz w:val="18"/>
          <w:szCs w:val="18"/>
        </w:rPr>
      </w:pPr>
      <w:r>
        <w:rPr>
          <w:b/>
          <w:bCs/>
          <w:sz w:val="18"/>
          <w:szCs w:val="18"/>
        </w:rPr>
        <w:t>Fuente:</w:t>
      </w:r>
      <w:r>
        <w:rPr>
          <w:sz w:val="18"/>
          <w:szCs w:val="18"/>
        </w:rPr>
        <w:t xml:space="preserve"> Elaboración propia (2025) con base en la información suministrada de la SDH (2025)</w:t>
      </w:r>
    </w:p>
    <w:p w:rsidR="00743DA6" w:rsidRDefault="00D95D19">
      <w:pPr>
        <w:spacing w:before="240" w:after="240" w:line="259" w:lineRule="auto"/>
        <w:jc w:val="both"/>
        <w:rPr>
          <w:sz w:val="22"/>
          <w:szCs w:val="22"/>
        </w:rPr>
      </w:pPr>
      <w:r>
        <w:rPr>
          <w:sz w:val="22"/>
          <w:szCs w:val="22"/>
        </w:rPr>
        <w:t>La estructura interna del presupuesto 2026 de la EMB refuerza esta lectura. Según el detalle aprobado por el CONFIS, los ingresos para 2026 ascienden a $8,53 billones, de los cuales $3,142,050,472,000 corresponden a disponibilidad inicial, es decir, saldos no ejecutados de 2025 que se arrastran a 2026; $128,547,000,000 corresponden a ingresos corrientes, y $5,260,600,578,000 provienen de recursos de capital. En términos relativos, apenas alrededor del 1,5 % del presupuesto se apoya en ingresos propios corrientes; cerca del 36,8 % descansa en saldos no ejecutados de la vigencia anterior y aproximadamente el 61,7 % en recursos de capital (créditos, aportes de cofinanciación, rendimientos, etc.). Por el lado del gasto, el mismo documento muestra que la Empresa Metro planea ejecutar $6,731,967,320,000, de los cuales solo unos $110,872,708,000 se destinan a funcionamiento (alrededor del 1,6 %), $590,223,407,000 al servicio de la deuda (cerca del 8,8 %) y $6,030,871,205,000 a inversión (alrededor del 89,6 %). La diferencia entre ingresos y gastos se traduce en una disponibilidad final proyectada de $1,799,230,730,000, que equivaldrá a más de una quinta parte de los ingresos del año y se convertirá en la disponibilidad inicial de 2027. El Marco Fiscal de Mediano Plazo complementa esta foto mostrando cómo el indicador de liquidez de la EMB pasa de 1,3 en 2022 a 0,6 en 2023, y vuelve a subir a 1,3 en el primer semestre de 2024 y a 2,1 en el primer semestre de 2025; es decir, la entidad acumula saldos líquidos significativos al tiempo que su presupuesto nominal crece de manera acelerada, lo que evidencia una combinación de alta inversión autorizada, altos niveles de recursos en caja y dificultades para transformar ese potencial presupuestal en ejecución efectiva y oportuna.</w:t>
      </w:r>
    </w:p>
    <w:p w:rsidR="00743DA6" w:rsidRDefault="00D95D19">
      <w:pPr>
        <w:spacing w:before="240" w:after="240" w:line="259" w:lineRule="auto"/>
        <w:jc w:val="both"/>
        <w:rPr>
          <w:sz w:val="22"/>
          <w:szCs w:val="22"/>
        </w:rPr>
      </w:pPr>
      <w:r>
        <w:rPr>
          <w:sz w:val="22"/>
          <w:szCs w:val="22"/>
        </w:rPr>
        <w:t>La comparación entre lo programado, lo comprometido y lo girado en 2025, frente a la programación de 2026, refuerza los riesgos anteriores. Sumando todas las actividades de inversión de la EMB, para 2025 se observa una programación de $2.559.442 millones, compromisos por $2.302.318 millones (aproximadamente el 89,9 % de lo programado) y giros efectivos por $1.445.130 millones (cerca del 56,5 %). Es decir, la empresa logra comprometer casi todo lo programado, pero apenas gira algo más de la mitad de los recursos. Pese a este rezago en caja, la programación de actividades para 2026 se eleva a $6.030.871 millones, lo que implica un incremento de aproximadamente 136 % frente a 2025. En otras palabras, sobre una base de ejecución 2025 en la que casi la mitad del presupuesto programado no se transforma en pagos efectivos, la administración proyecta más que duplicar el volumen de actividades, con el consiguiente riesgo de seguir acumulando saldos y presiones de vigencias futuras sin la correspondiente capacidad operativa y social de ejecución.</w:t>
      </w:r>
    </w:p>
    <w:p w:rsidR="00743DA6" w:rsidRDefault="00743DA6">
      <w:pPr>
        <w:spacing w:before="240" w:after="240" w:line="259" w:lineRule="auto"/>
        <w:rPr>
          <w:sz w:val="22"/>
          <w:szCs w:val="22"/>
        </w:rPr>
      </w:pPr>
    </w:p>
    <w:p w:rsidR="00743DA6" w:rsidRDefault="00D95D19">
      <w:pPr>
        <w:spacing w:before="240" w:after="240" w:line="276" w:lineRule="auto"/>
        <w:jc w:val="center"/>
        <w:rPr>
          <w:sz w:val="18"/>
          <w:szCs w:val="18"/>
        </w:rPr>
      </w:pPr>
      <w:r>
        <w:rPr>
          <w:b/>
          <w:bCs/>
          <w:sz w:val="18"/>
          <w:szCs w:val="18"/>
        </w:rPr>
        <w:t xml:space="preserve">Tabla No. 62. Programación Presupuestal Comparada de EMB Vigencia 2025 y Proyecto de Presupuesto 2026. </w:t>
      </w:r>
    </w:p>
    <w:sdt>
      <w:sdtPr>
        <w:rPr>
          <w:rFonts w:ascii="Arial" w:eastAsia="Arial" w:hAnsi="Arial" w:cs="Arial"/>
          <w:sz w:val="24"/>
          <w:szCs w:val="24"/>
          <w:lang w:val="es" w:eastAsia="es-CO"/>
        </w:rPr>
        <w:tag w:val="goog_rdk_907"/>
        <w:id w:val="-1065491760"/>
        <w:lock w:val="contentLocked"/>
      </w:sdtPr>
      <w:sdtEndPr/>
      <w:sdtContent>
        <w:tbl>
          <w:tblPr>
            <w:tblStyle w:val="affffffff8"/>
            <w:tblpPr w:leftFromText="180" w:rightFromText="180" w:topFromText="180" w:bottomFromText="180" w:horzAnchor="margin" w:tblpXSpec="center" w:tblpYSpec="top"/>
            <w:tblW w:w="8835" w:type="dxa"/>
            <w:jc w:val="center"/>
            <w:tblBorders>
              <w:top w:val="nil"/>
              <w:left w:val="nil"/>
              <w:bottom w:val="nil"/>
              <w:right w:val="nil"/>
              <w:insideH w:val="nil"/>
              <w:insideV w:val="nil"/>
            </w:tblBorders>
            <w:tblLayout w:type="fixed"/>
            <w:tblLook w:val="0600" w:firstRow="0" w:lastRow="0" w:firstColumn="0" w:lastColumn="0" w:noHBand="1" w:noVBand="1"/>
          </w:tblPr>
          <w:tblGrid>
            <w:gridCol w:w="1905"/>
            <w:gridCol w:w="1740"/>
            <w:gridCol w:w="1320"/>
            <w:gridCol w:w="1275"/>
            <w:gridCol w:w="1350"/>
            <w:gridCol w:w="1245"/>
          </w:tblGrid>
          <w:tr w:rsidR="00743DA6">
            <w:trPr>
              <w:trHeight w:val="755"/>
              <w:jc w:val="center"/>
            </w:trPr>
            <w:tc>
              <w:tcPr>
                <w:tcW w:w="190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Proyectos de inversión</w:t>
                </w:r>
              </w:p>
            </w:tc>
            <w:tc>
              <w:tcPr>
                <w:tcW w:w="174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 xml:space="preserve"> Presupuesto programado para el 2025 </w:t>
                </w:r>
              </w:p>
            </w:tc>
            <w:tc>
              <w:tcPr>
                <w:tcW w:w="132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 xml:space="preserve"> Presupuesto comprometido para el 2025 </w:t>
                </w:r>
              </w:p>
            </w:tc>
            <w:tc>
              <w:tcPr>
                <w:tcW w:w="127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 xml:space="preserve"> Presupuesto girados para el 2025</w:t>
                </w:r>
              </w:p>
            </w:tc>
            <w:tc>
              <w:tcPr>
                <w:tcW w:w="13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 xml:space="preserve">  Presupuesto programado para el 2026 </w:t>
                </w:r>
              </w:p>
            </w:tc>
            <w:tc>
              <w:tcPr>
                <w:tcW w:w="124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rPr>
                    <w:rFonts w:ascii="Arial" w:eastAsia="Arial" w:hAnsi="Arial" w:cs="Arial"/>
                    <w:sz w:val="18"/>
                    <w:szCs w:val="18"/>
                  </w:rPr>
                </w:pPr>
                <w:r>
                  <w:rPr>
                    <w:rFonts w:ascii="Arial" w:eastAsia="Arial" w:hAnsi="Arial" w:cs="Arial"/>
                    <w:b/>
                    <w:bCs/>
                    <w:sz w:val="18"/>
                    <w:szCs w:val="18"/>
                  </w:rPr>
                  <w:t xml:space="preserve"> Diferencia entre lo programado en el 2025 con lo programado en el 2026</w:t>
                </w:r>
              </w:p>
            </w:tc>
          </w:tr>
          <w:tr w:rsidR="00743DA6">
            <w:trPr>
              <w:trHeight w:val="455"/>
              <w:jc w:val="center"/>
            </w:trPr>
            <w:tc>
              <w:tcPr>
                <w:tcW w:w="190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Ampliación de la red de líneas de metro y las líneas férreas de la Bogotá – Región, promoviendo acciones tendientes a la integración de los distintos modos de transporte. Bogotá D.C.</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  </w:t>
                </w:r>
              </w:p>
            </w:tc>
            <w:tc>
              <w:tcPr>
                <w:tcW w:w="132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 xml:space="preserve">-  </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 xml:space="preserve">-  </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4.745,77</w:t>
                </w:r>
              </w:p>
            </w:tc>
            <w:tc>
              <w:tcPr>
                <w:tcW w:w="124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$4.745,77</w:t>
                </w:r>
              </w:p>
            </w:tc>
          </w:tr>
          <w:tr w:rsidR="00743DA6">
            <w:trPr>
              <w:trHeight w:val="455"/>
              <w:jc w:val="center"/>
            </w:trPr>
            <w:tc>
              <w:tcPr>
                <w:tcW w:w="190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Desarrollo, identificación, planeación, estructuración y adjudicación de la fase 2 de la PLMB.</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$110.353,27</w:t>
                </w:r>
              </w:p>
            </w:tc>
            <w:tc>
              <w:tcPr>
                <w:tcW w:w="132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$13.394,80</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2.152,56</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485.728,50</w:t>
                </w:r>
              </w:p>
            </w:tc>
            <w:tc>
              <w:tcPr>
                <w:tcW w:w="124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$375.375,23</w:t>
                </w:r>
              </w:p>
            </w:tc>
          </w:tr>
          <w:tr w:rsidR="00743DA6">
            <w:trPr>
              <w:trHeight w:val="455"/>
              <w:jc w:val="center"/>
            </w:trPr>
            <w:tc>
              <w:tcPr>
                <w:tcW w:w="190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Diseño, construcción y puesta en operación de la Primera Línea del Metro de Bogotá Tramo 1, incluidas sus obras complementarias.</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$219.299,98</w:t>
                </w:r>
              </w:p>
            </w:tc>
            <w:tc>
              <w:tcPr>
                <w:tcW w:w="132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$132.224,55</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$72.009,70</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$257.788,78</w:t>
                </w:r>
              </w:p>
            </w:tc>
            <w:tc>
              <w:tcPr>
                <w:tcW w:w="124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$38.488,79</w:t>
                </w:r>
              </w:p>
            </w:tc>
          </w:tr>
          <w:tr w:rsidR="00743DA6">
            <w:trPr>
              <w:trHeight w:val="455"/>
              <w:jc w:val="center"/>
            </w:trPr>
            <w:tc>
              <w:tcPr>
                <w:tcW w:w="190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Elaboración de los estudios y diseños a nivel de factibilidad para la expansión del Sistema de Transporte Público Metroferroviario ajustado a las condiciones de la demanda. Bogotá D.C.</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$9.525,90</w:t>
                </w:r>
              </w:p>
            </w:tc>
            <w:tc>
              <w:tcPr>
                <w:tcW w:w="132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$9.525,90</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 xml:space="preserve">-  </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23.151,07</w:t>
                </w:r>
              </w:p>
            </w:tc>
            <w:tc>
              <w:tcPr>
                <w:tcW w:w="124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$13.625,16</w:t>
                </w:r>
              </w:p>
            </w:tc>
          </w:tr>
          <w:tr w:rsidR="00743DA6">
            <w:trPr>
              <w:trHeight w:val="455"/>
              <w:jc w:val="center"/>
            </w:trPr>
            <w:tc>
              <w:tcPr>
                <w:tcW w:w="190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Fortalecimiento de la capacidad institucional en el marco del Modelo Integrado de Planeación y Gestión - MIPG. Bogotá D.C.</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$5.498,79</w:t>
                </w:r>
              </w:p>
            </w:tc>
            <w:tc>
              <w:tcPr>
                <w:tcW w:w="132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$3.159,37</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$915,91</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4.648,77</w:t>
                </w:r>
              </w:p>
            </w:tc>
            <w:tc>
              <w:tcPr>
                <w:tcW w:w="124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-$850,03</w:t>
                </w:r>
              </w:p>
            </w:tc>
          </w:tr>
          <w:tr w:rsidR="00743DA6">
            <w:trPr>
              <w:trHeight w:val="455"/>
              <w:jc w:val="center"/>
            </w:trPr>
            <w:tc>
              <w:tcPr>
                <w:tcW w:w="190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Implementación del programa de cultura ciudadana para la Red Metro de Bogotá D.C.</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$3.868,50</w:t>
                </w:r>
              </w:p>
            </w:tc>
            <w:tc>
              <w:tcPr>
                <w:tcW w:w="132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258,24</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258,24</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4.017,20</w:t>
                </w:r>
              </w:p>
            </w:tc>
            <w:tc>
              <w:tcPr>
                <w:tcW w:w="124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         148,70</w:t>
                </w:r>
              </w:p>
            </w:tc>
          </w:tr>
          <w:tr w:rsidR="00743DA6">
            <w:trPr>
              <w:trHeight w:val="455"/>
              <w:jc w:val="center"/>
            </w:trPr>
            <w:tc>
              <w:tcPr>
                <w:tcW w:w="190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Primera Línea de Metro de Bogotá</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$2.210.895,64</w:t>
                </w:r>
              </w:p>
            </w:tc>
            <w:tc>
              <w:tcPr>
                <w:tcW w:w="132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$2.143.755,79</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$1.369.794,21</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$5.250.791,13</w:t>
                </w:r>
              </w:p>
            </w:tc>
            <w:tc>
              <w:tcPr>
                <w:tcW w:w="124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$3.039.895,48</w:t>
                </w:r>
              </w:p>
            </w:tc>
          </w:tr>
          <w:tr w:rsidR="00743DA6">
            <w:trPr>
              <w:trHeight w:val="455"/>
              <w:jc w:val="center"/>
            </w:trPr>
            <w:tc>
              <w:tcPr>
                <w:tcW w:w="190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Total general</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$2.559.442,09</w:t>
                </w:r>
              </w:p>
            </w:tc>
            <w:tc>
              <w:tcPr>
                <w:tcW w:w="132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$2.302.318,66</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$1.445.130,63</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$6.030.871,21</w:t>
                </w:r>
              </w:p>
            </w:tc>
            <w:tc>
              <w:tcPr>
                <w:tcW w:w="1245" w:type="dxa"/>
                <w:tcBorders>
                  <w:top w:val="single" w:sz="8" w:space="0" w:color="000000"/>
                  <w:left w:val="single" w:sz="8" w:space="0" w:color="000000"/>
                  <w:bottom w:val="single" w:sz="8" w:space="0" w:color="000000"/>
                  <w:right w:val="single" w:sz="8" w:space="0" w:color="000000"/>
                </w:tcBorders>
                <w:shd w:val="clear" w:color="auto" w:fill="FFFFFF"/>
              </w:tcPr>
              <w:p w:rsidR="00743DA6" w:rsidRDefault="00D95D19">
                <w:pPr>
                  <w:spacing w:line="259" w:lineRule="auto"/>
                  <w:rPr>
                    <w:rFonts w:ascii="Arial" w:eastAsia="Arial" w:hAnsi="Arial" w:cs="Arial"/>
                    <w:sz w:val="18"/>
                    <w:szCs w:val="18"/>
                  </w:rPr>
                </w:pPr>
                <w:r>
                  <w:rPr>
                    <w:rFonts w:ascii="Arial" w:eastAsia="Arial" w:hAnsi="Arial" w:cs="Arial"/>
                    <w:sz w:val="18"/>
                    <w:szCs w:val="18"/>
                  </w:rPr>
                  <w:t xml:space="preserve">    $3.471.429,11</w:t>
                </w:r>
              </w:p>
            </w:tc>
          </w:tr>
        </w:tbl>
      </w:sdtContent>
    </w:sdt>
    <w:p w:rsidR="00743DA6" w:rsidRDefault="00D95D19">
      <w:pPr>
        <w:spacing w:before="240" w:after="240" w:line="276" w:lineRule="auto"/>
        <w:jc w:val="center"/>
        <w:rPr>
          <w:sz w:val="18"/>
          <w:szCs w:val="18"/>
        </w:rPr>
      </w:pPr>
      <w:r>
        <w:rPr>
          <w:b/>
          <w:bCs/>
          <w:sz w:val="18"/>
          <w:szCs w:val="18"/>
        </w:rPr>
        <w:t>Fuente:</w:t>
      </w:r>
      <w:r>
        <w:rPr>
          <w:sz w:val="18"/>
          <w:szCs w:val="18"/>
        </w:rPr>
        <w:t xml:space="preserve"> Elaboración propia (2025) con base en la matriz comparativa de la Secretaría Distrital de Hacienda (2025).</w:t>
      </w:r>
    </w:p>
    <w:p w:rsidR="00743DA6" w:rsidRDefault="00D95D19">
      <w:pPr>
        <w:spacing w:before="240" w:after="240" w:line="259" w:lineRule="auto"/>
        <w:jc w:val="both"/>
        <w:rPr>
          <w:sz w:val="22"/>
          <w:szCs w:val="22"/>
        </w:rPr>
      </w:pPr>
      <w:r>
        <w:rPr>
          <w:sz w:val="22"/>
          <w:szCs w:val="22"/>
        </w:rPr>
        <w:t>Al desagregar esta programación por metas de producto, se observa una concentración extrema en la Primera Línea del Metro de Bogotá Tramo 1. Bajo la meta 2224 (“Lograr el 99,7 % de la etapa pre-operativa de la PLMB Tramo 1”), que agrupa el proyecto 7501 – Primera Línea de Metro de Bogotá y el proyecto 7519 – Diseño, construcción y puesta en operación de la PLMB Tramo 1, la programación 2025 alcanza $2.430.196 millones, con compromisos por $2.275.980 millones y giros por $1.441.803 millones, lo que implica una ejecución en compromisos del 93,7 % y en giros del 59,3 %.</w:t>
      </w:r>
    </w:p>
    <w:p w:rsidR="00743DA6" w:rsidRDefault="00D95D19">
      <w:pPr>
        <w:spacing w:before="240" w:after="240" w:line="259" w:lineRule="auto"/>
        <w:jc w:val="both"/>
        <w:rPr>
          <w:sz w:val="22"/>
          <w:szCs w:val="22"/>
        </w:rPr>
      </w:pPr>
      <w:r>
        <w:rPr>
          <w:sz w:val="22"/>
          <w:szCs w:val="22"/>
        </w:rPr>
        <w:t>Para 2026, la programación de esta misma meta se eleva a $5.508.580 millones, es decir, un incremento del 126,7 % frente a 2025. En términos relativos, la meta 2224 absorbe alrededor del 91,3 % de toda la inversión EMB programada para 2026, y dentro de ella la actividad 8 del proyecto 7501, asociada a la ejecución de las obras del contrato de concesión, concentra por sí sola $5.224.804 millones, equivalentes a aproximadamente el 86,6 % de la inversión total de la Empresa Metro.</w:t>
      </w:r>
    </w:p>
    <w:p w:rsidR="00743DA6" w:rsidRDefault="00D95D19">
      <w:pPr>
        <w:spacing w:before="240" w:after="240" w:line="259" w:lineRule="auto"/>
        <w:jc w:val="both"/>
        <w:rPr>
          <w:sz w:val="22"/>
          <w:szCs w:val="22"/>
        </w:rPr>
      </w:pPr>
      <w:r>
        <w:rPr>
          <w:sz w:val="22"/>
          <w:szCs w:val="22"/>
        </w:rPr>
        <w:t>A la vez, actividades de carácter complementario y de control como las asistencias técnicas (PMO, encargo fiduciario), la comunicación, participación ciudadana, gestión social y traslado de redes presentan reducciones o incrementos marginales en sus programaciones, a pesar de que los datos de avance de la meta 2224 al 30 de septiembre de 2025 (68,76 % de avance de vigencia frente a 80,94 % de avance transcurrido) evidencian rezagos en el cumplimiento físico. Este patrón revela un modelo de metro concesionado en el que la expansión de la obra dura y del flujo hacia el concesionario no se acompaña de un fortalecimiento proporcional de la gestión social, de la participación y del control público sobre el contrato, lo que limita la capacidad de la ciudad para equilibrar el interés privado con el interés general.</w:t>
      </w:r>
    </w:p>
    <w:p w:rsidR="00743DA6" w:rsidRDefault="00D95D19">
      <w:pPr>
        <w:spacing w:before="240" w:after="240" w:line="259" w:lineRule="auto"/>
        <w:jc w:val="both"/>
        <w:rPr>
          <w:sz w:val="22"/>
          <w:szCs w:val="22"/>
        </w:rPr>
      </w:pPr>
      <w:r>
        <w:rPr>
          <w:sz w:val="22"/>
          <w:szCs w:val="22"/>
        </w:rPr>
        <w:t>La situación es particularmente crítica en la Línea 2 del Metro (meta 2200), denominada “Alcanzar el 16 % del ciclo de vida del proyecto L2MB”. En 2025, la programación de esta meta alcanza $110.353 millones, pero los compromisos apenas llegan a $13.395 millones (12,1 %) y los giros a $2.153 millones (2,0 %), lo que evidencia una ejecución prácticamente nula. A pesar de ello, para 2026 la programación se dispara a $485.728 millones, con un incremento superior al 340 %, concentrado especialmente en la actividad 4 del proyecto 7520, relativa a la gestión y adquisición predial, que pasa de $71.980 millones programados en 2025 con compromisos de apenas $312 millones y giros de cero pesos, a $447.985 millones programados en 2026. Este comportamiento se da en un contexto en el que el Marco Fiscal de Mediano Plazo reseña vigencias futuras tanto ordinarias como excepcionales para la Empresa Metro, amparadas en decisiones como el CONFIS 27 de 2025, que autorizan inversiones por 2.460 miles de millones de pesos de 2025 para periodos 2024–2041, superpuestas a las vigencias autorizadas por el Acuerdo 691 de 2017.</w:t>
      </w:r>
    </w:p>
    <w:p w:rsidR="00743DA6" w:rsidRDefault="00D95D19">
      <w:pPr>
        <w:spacing w:before="240" w:after="240" w:line="259" w:lineRule="auto"/>
        <w:jc w:val="both"/>
        <w:rPr>
          <w:sz w:val="22"/>
          <w:szCs w:val="22"/>
        </w:rPr>
      </w:pPr>
      <w:r>
        <w:rPr>
          <w:sz w:val="22"/>
          <w:szCs w:val="22"/>
        </w:rPr>
        <w:t>Se configura así un cuadro en el que la administración incrementa de forma muy agresiva las asignaciones a predial y a la fase previa de contratación de la L2MB sin contar con un historial de ejecución que demuestre capacidad institucional, social y técnica para gestionar ordenadamente los procesos de adquisición predial y de estructuración contractual, abriendo riesgos de conflictividad territorial, especulación inmobiliaria y captura de rentas del suelo que no son neutralizados con instrumentos robustos de captura de valor ni con esquemas claros de redistribución hacia los barrios populares afectados.</w:t>
      </w:r>
    </w:p>
    <w:p w:rsidR="00743DA6" w:rsidRDefault="00D95D19">
      <w:pPr>
        <w:spacing w:before="240" w:after="240" w:line="259" w:lineRule="auto"/>
        <w:jc w:val="both"/>
        <w:rPr>
          <w:sz w:val="22"/>
          <w:szCs w:val="22"/>
        </w:rPr>
      </w:pPr>
      <w:r>
        <w:rPr>
          <w:sz w:val="22"/>
          <w:szCs w:val="22"/>
        </w:rPr>
        <w:t>Algo similar ocurre con la meta 2228, relativa a los estudios de factibilidad para la expansión del sistema metroferroviario, donde en 2025 se programan $9.526 millones, se compromete el 100 % de ese valor pero no se registra ningún giro, y aun así la programación 2026 casi se triplica hasta $27.897 millones. Es decir, el Metro firma compromisos, pero la plata real no sale de caja, mientras se continúan multiplicando las proyecciones futuras. Este comportamiento refuerza la idea de un modelo financieramente apalancado, basado en compromisos multianuales y en la expectativa de futuras vigencias, más que en una ejecución efectiva y socialmente anclada en el corto plazo.</w:t>
      </w:r>
    </w:p>
    <w:p w:rsidR="00743DA6" w:rsidRDefault="00D95D19">
      <w:pPr>
        <w:spacing w:before="240" w:after="240" w:line="259" w:lineRule="auto"/>
        <w:jc w:val="both"/>
        <w:rPr>
          <w:sz w:val="22"/>
          <w:szCs w:val="22"/>
        </w:rPr>
      </w:pPr>
      <w:r>
        <w:rPr>
          <w:sz w:val="22"/>
          <w:szCs w:val="22"/>
        </w:rPr>
        <w:t>En contraste con la expansión de los componentes de obra y expansión del sistema, los programas de cultura ciudadana y fortalecimiento institucional de la EMB se mantienen en montos marginales y muestran problemas claros de ejecución. La meta 1976, orientada a “diseñar, implementar y evaluar el 100 % del plan sectorial de cultura ciudadana, comunicación y pedagogía cívica”, presenta en 2025 una programación de $3.868 millones, de los cuales solo $258 millones (6,7 %) se comprometen y giran, y para 2026 la programación apenas aumenta a $4.017 millones. La actividad 2 de este programa, que buscaba desarrollar actividades de articulación interinstitucional y corresponsabilidad público–privada, pasa de $722 millones programados en 2025 sin ningún compromiso ni giro a ser eliminada completamente en 2026. En paralelo, la meta 2286, orientada al fortalecimiento institucional en el marco del MIPG, programó $5.499 millones en 2025, con compromisos por $3.159 millones (57,4 %) y giros por $916 millones (16,7 %), y en 2026 ve reducida su programación a $4.649 millones.</w:t>
      </w:r>
    </w:p>
    <w:p w:rsidR="00743DA6" w:rsidRDefault="00D95D19">
      <w:pPr>
        <w:spacing w:before="240" w:after="240" w:line="259" w:lineRule="auto"/>
        <w:jc w:val="both"/>
        <w:rPr>
          <w:sz w:val="22"/>
          <w:szCs w:val="22"/>
        </w:rPr>
      </w:pPr>
      <w:r>
        <w:rPr>
          <w:sz w:val="22"/>
          <w:szCs w:val="22"/>
        </w:rPr>
        <w:t>Todo ello ocurre mientras la Empresa Metro se presenta en el Anexo 4 como la entidad con mayor participación en los trazadores de Juventud y con recursos significativos en los trazadores de Cultura Ciudadana y Grupos Étnicos, en buena medida porque la obra del Metro se clasifica como inversión con impacto indirecto sobre estas poblaciones. La tensión es evidente: la administración contabiliza miles de millones como “impacto en juventud y cultura” por el simple efecto estructural de la infraestructura, pero los programas específicos de cultura, participación, gestión social y fortalecimiento institucional tienen escalas muy reducidas, baja ejecución y, en algunos casos, reducción de recursos, lo que se distancia de una visión de política pública que coloque en el centro la organización popular, la pedagogía crítica y el control social sobre la obra.</w:t>
      </w:r>
    </w:p>
    <w:p w:rsidR="00743DA6" w:rsidRDefault="00D95D19">
      <w:pPr>
        <w:spacing w:before="240" w:after="240" w:line="259" w:lineRule="auto"/>
        <w:jc w:val="both"/>
        <w:rPr>
          <w:sz w:val="22"/>
          <w:szCs w:val="22"/>
        </w:rPr>
      </w:pPr>
      <w:r>
        <w:rPr>
          <w:sz w:val="22"/>
          <w:szCs w:val="22"/>
        </w:rPr>
        <w:t>Desde el punto de vista fiscal, el Marco Fiscal de Mediano Plazo documenta que las vigencias futuras ordinarias de la Empresa Metro suman alrededor de 5.467 miles de millones de pesos de 2025 para el periodo 2024–2041, mientras que las vigencias futuras excepcionales autorizadas mediante CONFIS 27 de 2025 agregan otros 2.460 miles de millones de pesos de 2025, principalmente para inversión. En conjunto, ello configura compromisos cercanos a 7,9 billones de pesos constantes de 2025, que se superponen con el presupuesto 2026 de 8,53 billones corrientes. El resultado es una entidad altamente apalancada, con fuerte peso en el déficit consolidado del sector descentralizado, cuya sustentabilidad depende del mantenimiento de un modelo de ciudad y de movilidad centrado en la priorización fiscal del Metro concesionado, reduciendo el margen de maniobra de futuras administraciones para reorientar el gasto hacia otras prioridades sociales, territoriales y ambientales. Para un proyecto alternativo al que gobierna actualmente la ciudad que considera la infraestructura como un medio para garantizar derechos y redistribuir poder, y no como un fin en sí mismo, esta arquitectura implica la necesidad de cuestionar no la existencia del Metro en abstracto, sino la manera concreta en que se está financiando, gobernando y articulando con el territorio.</w:t>
      </w:r>
    </w:p>
    <w:p w:rsidR="00743DA6" w:rsidRDefault="00D95D19">
      <w:pPr>
        <w:spacing w:before="240" w:after="240" w:line="259" w:lineRule="auto"/>
        <w:jc w:val="both"/>
      </w:pPr>
      <w:r>
        <w:rPr>
          <w:sz w:val="22"/>
          <w:szCs w:val="22"/>
        </w:rPr>
        <w:t>En síntesis, el análisis histórico y estructural de la Empresa Metro de Bogotá a partir de las cifras oficiales de 2022–2026, las decisiones del CONFIS y las proyecciones del Marco Fiscal de Mediano Plazo permite formular varias alertas de control político: la primera, la configuración de un salto de escala presupuestal en 2026 que no se corresponde con la capacidad demostrada de ejecución en giros de 2025, especialmente en proyectos nuevos como la Línea 2; la segunda, la concentración extrema de la inversión en el contrato de concesión de la Primera Línea Tramo 1, con reducción relativa de recursos para supervisión, interventoría, gestión social, participación ciudadana y fortalecimiento institucional, lo que debilita los contrapesos públicos frente a un privado que concentra la mayor parte de los flujos; la tercera, el uso expansivo de vigencias futuras y recursos de capital que comprometen la senda fiscal del Distrito hasta 2041 sin un debate suficiente sobre alternativas de financiación, captura de valor del suelo y redistribución de las rentas urbanas; y la cuarta, la brecha entre el relato de un Metro al servicio de la juventud, la cultura ciudadana y los sectores populares y la realidad de unos programas sociales e institucionales de baja escala y baja ejecución. Corresponderá al Concejo de Bogotá, en ejercicio de su función de control político y en defensa de un proyecto de ciudad incluyente y popular, exigir explicaciones detalladas a la administración sobre estas inconsistencias, demandar el fortalecimiento de los componentes sociales, institucionales y de control del proyecto Metro, y abrir el debate sobre los mecanismos de captura y redistribución de las plusvalías urbanas que hoy se están concentrando en manos privadas mientras el Distrito asume el peso de la deuda, el riesgo fiscal y las tensiones territoriales asociadas a la obra.</w:t>
      </w:r>
    </w:p>
    <w:p w:rsidR="00743DA6" w:rsidRDefault="00743DA6">
      <w:pPr>
        <w:spacing w:line="259" w:lineRule="auto"/>
        <w:rPr>
          <w:sz w:val="22"/>
          <w:szCs w:val="22"/>
        </w:rPr>
      </w:pPr>
    </w:p>
    <w:p w:rsidR="00743DA6" w:rsidRDefault="00D95D19">
      <w:pPr>
        <w:pBdr>
          <w:top w:val="nil"/>
          <w:left w:val="nil"/>
          <w:bottom w:val="nil"/>
          <w:right w:val="nil"/>
          <w:between w:val="nil"/>
        </w:pBdr>
        <w:spacing w:after="160" w:line="259" w:lineRule="auto"/>
        <w:rPr>
          <w:b/>
          <w:bCs/>
          <w:color w:val="000000"/>
          <w:sz w:val="22"/>
          <w:szCs w:val="22"/>
        </w:rPr>
      </w:pPr>
      <w:r>
        <w:rPr>
          <w:b/>
          <w:bCs/>
          <w:color w:val="000000"/>
          <w:sz w:val="22"/>
          <w:szCs w:val="22"/>
        </w:rPr>
        <w:t>Unidad Administrativa Especial de Rehabilitación y Mantenimiento Vial - UAERMV</w:t>
      </w:r>
    </w:p>
    <w:p w:rsidR="00743DA6" w:rsidRDefault="00D95D19">
      <w:pPr>
        <w:pBdr>
          <w:top w:val="nil"/>
          <w:left w:val="nil"/>
          <w:bottom w:val="nil"/>
          <w:right w:val="nil"/>
          <w:between w:val="nil"/>
        </w:pBdr>
        <w:spacing w:after="160" w:line="259" w:lineRule="auto"/>
        <w:rPr>
          <w:sz w:val="22"/>
          <w:szCs w:val="22"/>
        </w:rPr>
      </w:pPr>
      <w:r>
        <w:rPr>
          <w:sz w:val="22"/>
          <w:szCs w:val="22"/>
        </w:rPr>
        <w:t>El análisis de la UAERMV revela un ciclo de volatilidad presupuestal (grandes aumentos y recortes año tras año) combinado con un deterioro progresivo en la eficiencia de los pagos (giros), culminando en una crisis operativa en 2025.</w:t>
      </w:r>
    </w:p>
    <w:p w:rsidR="00743DA6" w:rsidRDefault="00743DA6">
      <w:pPr>
        <w:pBdr>
          <w:top w:val="nil"/>
          <w:left w:val="nil"/>
          <w:bottom w:val="nil"/>
          <w:right w:val="nil"/>
          <w:between w:val="nil"/>
        </w:pBdr>
        <w:spacing w:after="160" w:line="259" w:lineRule="auto"/>
        <w:rPr>
          <w:sz w:val="22"/>
          <w:szCs w:val="22"/>
        </w:rPr>
      </w:pPr>
    </w:p>
    <w:p w:rsidR="00743DA6" w:rsidRDefault="00D95D19">
      <w:pPr>
        <w:jc w:val="center"/>
        <w:rPr>
          <w:sz w:val="22"/>
          <w:szCs w:val="22"/>
        </w:rPr>
      </w:pPr>
      <w:r>
        <w:rPr>
          <w:b/>
          <w:bCs/>
          <w:sz w:val="22"/>
          <w:szCs w:val="22"/>
        </w:rPr>
        <w:t>Gráfica x Histórico Presupuestal 2022- 2025 UAERMV</w:t>
      </w:r>
    </w:p>
    <w:p w:rsidR="00743DA6" w:rsidRDefault="00D95D19">
      <w:pPr>
        <w:pBdr>
          <w:top w:val="nil"/>
          <w:left w:val="nil"/>
          <w:bottom w:val="nil"/>
          <w:right w:val="nil"/>
          <w:between w:val="nil"/>
        </w:pBdr>
        <w:spacing w:after="160" w:line="259" w:lineRule="auto"/>
        <w:jc w:val="center"/>
      </w:pPr>
      <w:r>
        <w:rPr>
          <w:noProof/>
          <w:lang w:val="es-CO"/>
        </w:rPr>
        <w:drawing>
          <wp:inline distT="114300" distB="114300" distL="114300" distR="114300">
            <wp:extent cx="5612130" cy="3276600"/>
            <wp:effectExtent l="0" t="0" r="0" b="0"/>
            <wp:docPr id="212739957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2"/>
                    <a:srcRect/>
                    <a:stretch>
                      <a:fillRect/>
                    </a:stretch>
                  </pic:blipFill>
                  <pic:spPr>
                    <a:xfrm>
                      <a:off x="0" y="0"/>
                      <a:ext cx="5612130" cy="3276600"/>
                    </a:xfrm>
                    <a:prstGeom prst="rect">
                      <a:avLst/>
                    </a:prstGeom>
                    <a:ln/>
                  </pic:spPr>
                </pic:pic>
              </a:graphicData>
            </a:graphic>
          </wp:inline>
        </w:drawing>
      </w:r>
      <w:r>
        <w:rPr>
          <w:b/>
          <w:bCs/>
          <w:sz w:val="18"/>
          <w:szCs w:val="18"/>
        </w:rPr>
        <w:t>Fuente</w:t>
      </w:r>
      <w:r>
        <w:rPr>
          <w:sz w:val="18"/>
          <w:szCs w:val="18"/>
        </w:rPr>
        <w:t>: Elaboración propia (2025) con base en la información suministrada de la SDH: Comparativo presupuesto anual por entidades 2022-2026</w:t>
      </w:r>
    </w:p>
    <w:p w:rsidR="00743DA6" w:rsidRDefault="00D95D19">
      <w:pPr>
        <w:pStyle w:val="Ttulo4"/>
        <w:keepNext w:val="0"/>
        <w:spacing w:after="40" w:line="259" w:lineRule="auto"/>
        <w:jc w:val="both"/>
        <w:rPr>
          <w:rFonts w:ascii="Arial" w:eastAsia="Arial" w:hAnsi="Arial" w:cs="Arial"/>
          <w:sz w:val="22"/>
          <w:szCs w:val="22"/>
        </w:rPr>
      </w:pPr>
      <w:bookmarkStart w:id="32" w:name="_heading=h.w9u80sqc7sor" w:colFirst="0" w:colLast="0"/>
      <w:bookmarkEnd w:id="32"/>
      <w:r>
        <w:rPr>
          <w:rFonts w:ascii="Arial" w:eastAsia="Arial" w:hAnsi="Arial" w:cs="Arial"/>
          <w:sz w:val="22"/>
          <w:szCs w:val="22"/>
        </w:rPr>
        <w:t>2022: Operación Estable</w:t>
      </w:r>
    </w:p>
    <w:p w:rsidR="00743DA6" w:rsidRDefault="00D95D19">
      <w:pPr>
        <w:spacing w:before="240" w:after="240" w:line="259" w:lineRule="auto"/>
        <w:jc w:val="both"/>
        <w:rPr>
          <w:sz w:val="22"/>
          <w:szCs w:val="22"/>
        </w:rPr>
      </w:pPr>
      <w:r>
        <w:rPr>
          <w:sz w:val="22"/>
          <w:szCs w:val="22"/>
        </w:rPr>
        <w:t>El periodo inicia con una asignación programada de $199.421 millones. La entidad demostró una alta capacidad de contratación (comprometiendo incluso más de lo inicialmente programado, 104%) y logró un nivel de giros de $157.294 millones (78.88%). Este fue el año más eficiente del periodo analizado, estableciendo una base operativa sólida.</w:t>
      </w:r>
    </w:p>
    <w:p w:rsidR="00743DA6" w:rsidRDefault="00D95D19">
      <w:pPr>
        <w:pStyle w:val="Ttulo4"/>
        <w:keepNext w:val="0"/>
        <w:spacing w:after="40" w:line="259" w:lineRule="auto"/>
        <w:jc w:val="both"/>
        <w:rPr>
          <w:rFonts w:ascii="Arial" w:eastAsia="Arial" w:hAnsi="Arial" w:cs="Arial"/>
          <w:sz w:val="22"/>
          <w:szCs w:val="22"/>
        </w:rPr>
      </w:pPr>
      <w:bookmarkStart w:id="33" w:name="_heading=h.nf0m9dfinlv" w:colFirst="0" w:colLast="0"/>
      <w:bookmarkEnd w:id="33"/>
      <w:r>
        <w:rPr>
          <w:rFonts w:ascii="Arial" w:eastAsia="Arial" w:hAnsi="Arial" w:cs="Arial"/>
          <w:sz w:val="22"/>
          <w:szCs w:val="22"/>
        </w:rPr>
        <w:t>2023: Expansión y Ralentización</w:t>
      </w:r>
    </w:p>
    <w:p w:rsidR="00743DA6" w:rsidRDefault="00D95D19">
      <w:pPr>
        <w:spacing w:before="240" w:after="240" w:line="259" w:lineRule="auto"/>
        <w:jc w:val="both"/>
        <w:rPr>
          <w:sz w:val="22"/>
          <w:szCs w:val="22"/>
        </w:rPr>
      </w:pPr>
      <w:r>
        <w:rPr>
          <w:sz w:val="22"/>
          <w:szCs w:val="22"/>
        </w:rPr>
        <w:t>En 2023, la UAERMV recibió un fuerte impulso financiero, con un aumento del presupuesto a **$277.391 millones** (+39%). Sin embargo, la capacidad de ejecución no creció al mismo ritmo. Aunque la contratación se mantuvo alta (95%), la ejecución de pagos cayó al 63.89% ($177.221 millones girados). Esto indica que, a pesar de tener más dinero y contratos firmados, la entidad empezó a tener dificultades para entregar obras y liquidar pagos.</w:t>
      </w:r>
    </w:p>
    <w:p w:rsidR="00743DA6" w:rsidRDefault="00D95D19">
      <w:pPr>
        <w:pStyle w:val="Ttulo4"/>
        <w:keepNext w:val="0"/>
        <w:spacing w:after="40" w:line="259" w:lineRule="auto"/>
        <w:jc w:val="both"/>
        <w:rPr>
          <w:rFonts w:ascii="Arial" w:eastAsia="Arial" w:hAnsi="Arial" w:cs="Arial"/>
          <w:sz w:val="22"/>
          <w:szCs w:val="22"/>
        </w:rPr>
      </w:pPr>
      <w:bookmarkStart w:id="34" w:name="_heading=h.6ctp15jr9hqx" w:colFirst="0" w:colLast="0"/>
      <w:bookmarkEnd w:id="34"/>
      <w:r>
        <w:rPr>
          <w:rFonts w:ascii="Arial" w:eastAsia="Arial" w:hAnsi="Arial" w:cs="Arial"/>
          <w:sz w:val="22"/>
          <w:szCs w:val="22"/>
        </w:rPr>
        <w:t>2024: Recorte y Recuperación Parcial</w:t>
      </w:r>
    </w:p>
    <w:p w:rsidR="00743DA6" w:rsidRDefault="00D95D19">
      <w:pPr>
        <w:spacing w:before="240" w:after="240" w:line="259" w:lineRule="auto"/>
        <w:jc w:val="both"/>
        <w:rPr>
          <w:sz w:val="22"/>
          <w:szCs w:val="22"/>
        </w:rPr>
      </w:pPr>
      <w:r>
        <w:rPr>
          <w:sz w:val="22"/>
          <w:szCs w:val="22"/>
        </w:rPr>
        <w:t>Ante la ralentización de 2023, el presupuesto de 2024 sufrió un recorte drástico del -29%, bajando a **$194.946 millones**. Con menos recursos que administrar, la entidad mejoró ligeramente sus indicadores porcentuales de contratación, pero la ejecución de pagos (giros) se estancó en el 69.64% ($135.767 millones), sin lograr recuperar los niveles de eficiencia de 2022.</w:t>
      </w:r>
    </w:p>
    <w:p w:rsidR="00743DA6" w:rsidRDefault="00D95D19">
      <w:pPr>
        <w:pStyle w:val="Ttulo4"/>
        <w:keepNext w:val="0"/>
        <w:spacing w:after="40" w:line="259" w:lineRule="auto"/>
        <w:jc w:val="both"/>
        <w:rPr>
          <w:rFonts w:ascii="Arial" w:eastAsia="Arial" w:hAnsi="Arial" w:cs="Arial"/>
          <w:sz w:val="22"/>
          <w:szCs w:val="22"/>
        </w:rPr>
      </w:pPr>
      <w:bookmarkStart w:id="35" w:name="_heading=h.rzeemrx6erxk" w:colFirst="0" w:colLast="0"/>
      <w:bookmarkEnd w:id="35"/>
      <w:r>
        <w:rPr>
          <w:rFonts w:ascii="Arial" w:eastAsia="Arial" w:hAnsi="Arial" w:cs="Arial"/>
          <w:sz w:val="22"/>
          <w:szCs w:val="22"/>
        </w:rPr>
        <w:t>2025: El Colapso Operativo</w:t>
      </w:r>
    </w:p>
    <w:p w:rsidR="00743DA6" w:rsidRDefault="00D95D19">
      <w:pPr>
        <w:spacing w:before="240" w:after="240" w:line="259" w:lineRule="auto"/>
        <w:jc w:val="both"/>
        <w:rPr>
          <w:sz w:val="22"/>
          <w:szCs w:val="22"/>
        </w:rPr>
      </w:pPr>
      <w:r>
        <w:rPr>
          <w:sz w:val="22"/>
          <w:szCs w:val="22"/>
        </w:rPr>
        <w:t>En 2025 se asignó nuevamente un presupuesto robusto de $242.159 millones (+24%), apostando por una reactivación de la malla vial. Sin embargo, la gestión colapsó:</w:t>
      </w:r>
    </w:p>
    <w:p w:rsidR="00743DA6" w:rsidRDefault="00D95D19">
      <w:pPr>
        <w:spacing w:before="240" w:after="240" w:line="259" w:lineRule="auto"/>
        <w:jc w:val="both"/>
        <w:rPr>
          <w:sz w:val="22"/>
          <w:szCs w:val="22"/>
        </w:rPr>
      </w:pPr>
      <w:r>
        <w:rPr>
          <w:sz w:val="22"/>
          <w:szCs w:val="22"/>
        </w:rPr>
        <w:t>Contratación: Solo se logró comprometer el 72.41% de los recursos, lo que indica problemas licitatorios o administrativos graves.</w:t>
      </w:r>
    </w:p>
    <w:p w:rsidR="00743DA6" w:rsidRDefault="00D95D19">
      <w:pPr>
        <w:spacing w:before="240" w:after="240" w:line="259" w:lineRule="auto"/>
        <w:jc w:val="both"/>
        <w:rPr>
          <w:sz w:val="22"/>
          <w:szCs w:val="22"/>
        </w:rPr>
      </w:pPr>
      <w:r>
        <w:rPr>
          <w:sz w:val="22"/>
          <w:szCs w:val="22"/>
        </w:rPr>
        <w:t>Pagos (Giros): La cifra más alarmante es la ejecución de giros, que se desplomó al 45.35% ($109.828 millones). Esto significa que menos de la mitad del presupuesto asignado se tradujo en intervenciones viales pagadas, dejando un saldo sin ejecutar de más de $130 mil millones.</w:t>
      </w:r>
    </w:p>
    <w:p w:rsidR="00743DA6" w:rsidRDefault="00D95D19">
      <w:pPr>
        <w:pStyle w:val="Ttulo4"/>
        <w:keepNext w:val="0"/>
        <w:spacing w:after="40" w:line="259" w:lineRule="auto"/>
        <w:jc w:val="both"/>
        <w:rPr>
          <w:rFonts w:ascii="Arial" w:eastAsia="Arial" w:hAnsi="Arial" w:cs="Arial"/>
          <w:sz w:val="22"/>
          <w:szCs w:val="22"/>
        </w:rPr>
      </w:pPr>
      <w:bookmarkStart w:id="36" w:name="_heading=h.7v8mo9pv0i9d" w:colFirst="0" w:colLast="0"/>
      <w:bookmarkEnd w:id="36"/>
      <w:r>
        <w:rPr>
          <w:rFonts w:ascii="Arial" w:eastAsia="Arial" w:hAnsi="Arial" w:cs="Arial"/>
          <w:sz w:val="22"/>
          <w:szCs w:val="22"/>
        </w:rPr>
        <w:t>2026: Recorte Presupuestal (Proyección)</w:t>
      </w:r>
    </w:p>
    <w:p w:rsidR="00743DA6" w:rsidRDefault="00D95D19">
      <w:pPr>
        <w:spacing w:before="240" w:after="240" w:line="259" w:lineRule="auto"/>
        <w:jc w:val="both"/>
        <w:rPr>
          <w:sz w:val="22"/>
          <w:szCs w:val="22"/>
        </w:rPr>
      </w:pPr>
      <w:r>
        <w:rPr>
          <w:sz w:val="22"/>
          <w:szCs w:val="22"/>
        </w:rPr>
        <w:t>Como consecuencia directa de la parálisis de 2025, el presupuesto proyectado para 2026 se ajusta a la baja a $224.814 millones. Esta reducción de -$17.345 millones (-7.16%) es una sanción fiscal necesaria. La entidad demostró no tener la capacidad operativa para ejecutar un presupuesto superior a los $240 mil millones, por lo que el ajuste busca alinear los recursos a su realidad de gestión.</w:t>
      </w:r>
    </w:p>
    <w:p w:rsidR="00743DA6" w:rsidRDefault="00D95D19">
      <w:pPr>
        <w:pBdr>
          <w:top w:val="nil"/>
          <w:left w:val="nil"/>
          <w:bottom w:val="nil"/>
          <w:right w:val="nil"/>
          <w:between w:val="nil"/>
        </w:pBdr>
        <w:spacing w:after="160" w:line="259" w:lineRule="auto"/>
        <w:jc w:val="both"/>
        <w:rPr>
          <w:b/>
          <w:bCs/>
          <w:sz w:val="22"/>
          <w:szCs w:val="22"/>
        </w:rPr>
      </w:pPr>
      <w:r>
        <w:rPr>
          <w:b/>
          <w:bCs/>
          <w:sz w:val="22"/>
          <w:szCs w:val="22"/>
        </w:rPr>
        <w:t>Hallazgos y Alertas</w:t>
      </w:r>
    </w:p>
    <w:p w:rsidR="00743DA6" w:rsidRDefault="00D95D19">
      <w:pPr>
        <w:spacing w:before="240" w:after="240" w:line="259" w:lineRule="auto"/>
        <w:jc w:val="both"/>
        <w:rPr>
          <w:sz w:val="22"/>
          <w:szCs w:val="22"/>
        </w:rPr>
      </w:pPr>
      <w:r>
        <w:rPr>
          <w:sz w:val="22"/>
          <w:szCs w:val="22"/>
        </w:rPr>
        <w:t>El aumento de aproximadamente $3.700 millones para la malla vial rural es una señal positiva, pero insuficiente frente al rezago histórico que vive la ruralidad de Bogotá: la mayoría de sus kilómetros-carril está en mal estado, sin drenajes, sin mantenimiento rutinario y con alto riesgo de aislamiento durante temporadas de lluvia. La ruralidad casi nunca es priorizada y suele ser la primera en sufrir recortes, por lo que asignar más recursos es un paso necesario. Sin embargo, el verdadero problema no radica en financiar la ruralidad, sino en de dónde se están extrayendo los recursos para hacerlo. El incremento viene acompañado de reducciones en la malla vial local y la intermedia, en la arterial, en los andenes, en la infraestructura peatonal y en los sistemas técnicos y administrativos (SIGMA, Orfeo, Calíope), lo que reproduce una lógica equivocada de “barrios urbanos vs. territorio rural” que no debería existir en la planeación distrital.</w:t>
      </w:r>
    </w:p>
    <w:p w:rsidR="00743DA6" w:rsidRDefault="00D95D19">
      <w:pPr>
        <w:spacing w:before="240" w:after="240" w:line="259" w:lineRule="auto"/>
        <w:jc w:val="both"/>
        <w:rPr>
          <w:b/>
          <w:bCs/>
          <w:sz w:val="22"/>
          <w:szCs w:val="22"/>
        </w:rPr>
      </w:pPr>
      <w:r>
        <w:rPr>
          <w:sz w:val="22"/>
          <w:szCs w:val="22"/>
        </w:rPr>
        <w:t>A esto se suma que la ejecución rural en 2025 es tan baja como la urbana, lo que evidencia que no basta con aumentar el presupuesto si la entidad no demuestra capacidad real para transformarlo en intervenciones. El aumento debería ser significativo y acompañado de una estrategia técnica robusta. Las vías rurales no son únicamente infraestructura: son territorio, ecosistema y soporte de la economía popular campesina. Por ello, su intervención debería incorporar drenajes sostenibles, pasos de agua, soluciones basadas en la naturaleza, participación comunitaria, contratación de mano de obra local y articulación efectiva con el IDIGER y la Secretaría de Ambiente. Sin estas condiciones, el riesgo es que el nuevo presupuesto rural termine, como en vigencias anteriores, sin ejecutarse y sin transformar las condiciones de vida de la población campesina.</w:t>
      </w:r>
    </w:p>
    <w:p w:rsidR="00743DA6" w:rsidRDefault="00743DA6">
      <w:pPr>
        <w:pBdr>
          <w:top w:val="nil"/>
          <w:left w:val="nil"/>
          <w:bottom w:val="nil"/>
          <w:right w:val="nil"/>
          <w:between w:val="nil"/>
        </w:pBdr>
        <w:spacing w:after="160" w:line="259" w:lineRule="auto"/>
        <w:jc w:val="both"/>
        <w:rPr>
          <w:b/>
          <w:bCs/>
          <w:sz w:val="22"/>
          <w:szCs w:val="22"/>
        </w:rPr>
      </w:pPr>
    </w:p>
    <w:p w:rsidR="00743DA6" w:rsidRDefault="00D95D19">
      <w:pPr>
        <w:pBdr>
          <w:top w:val="nil"/>
          <w:left w:val="nil"/>
          <w:bottom w:val="nil"/>
          <w:right w:val="nil"/>
          <w:between w:val="nil"/>
        </w:pBdr>
        <w:spacing w:after="160" w:line="259" w:lineRule="auto"/>
        <w:jc w:val="both"/>
        <w:rPr>
          <w:b/>
          <w:bCs/>
          <w:sz w:val="22"/>
          <w:szCs w:val="22"/>
        </w:rPr>
      </w:pPr>
      <w:r>
        <w:rPr>
          <w:b/>
          <w:bCs/>
          <w:sz w:val="22"/>
          <w:szCs w:val="22"/>
        </w:rPr>
        <w:t>Tabla No. 63 Actividades con Recortes Presupuestales</w:t>
      </w:r>
    </w:p>
    <w:sdt>
      <w:sdtPr>
        <w:rPr>
          <w:rFonts w:ascii="Arial" w:eastAsia="Arial" w:hAnsi="Arial" w:cs="Arial"/>
          <w:sz w:val="24"/>
          <w:szCs w:val="24"/>
          <w:lang w:val="es" w:eastAsia="es-CO"/>
        </w:rPr>
        <w:tag w:val="goog_rdk_962"/>
        <w:id w:val="1276485354"/>
        <w:lock w:val="contentLocked"/>
      </w:sdtPr>
      <w:sdtEndPr/>
      <w:sdtContent>
        <w:tbl>
          <w:tblPr>
            <w:tblStyle w:val="affffffff9"/>
            <w:tblW w:w="8820" w:type="dxa"/>
            <w:tblBorders>
              <w:top w:val="nil"/>
              <w:left w:val="nil"/>
              <w:bottom w:val="nil"/>
              <w:right w:val="nil"/>
              <w:insideH w:val="nil"/>
              <w:insideV w:val="nil"/>
            </w:tblBorders>
            <w:tblLayout w:type="fixed"/>
            <w:tblLook w:val="0600" w:firstRow="0" w:lastRow="0" w:firstColumn="0" w:lastColumn="0" w:noHBand="1" w:noVBand="1"/>
          </w:tblPr>
          <w:tblGrid>
            <w:gridCol w:w="3405"/>
            <w:gridCol w:w="1080"/>
            <w:gridCol w:w="1035"/>
            <w:gridCol w:w="780"/>
            <w:gridCol w:w="1110"/>
            <w:gridCol w:w="1410"/>
          </w:tblGrid>
          <w:tr w:rsidR="00743DA6">
            <w:trPr>
              <w:trHeight w:val="1005"/>
            </w:trPr>
            <w:tc>
              <w:tcPr>
                <w:tcW w:w="8820" w:type="dxa"/>
                <w:gridSpan w:val="6"/>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jc w:val="center"/>
                  <w:rPr>
                    <w:rFonts w:ascii="Arial" w:eastAsia="Arial" w:hAnsi="Arial" w:cs="Arial"/>
                    <w:b/>
                    <w:bCs/>
                    <w:sz w:val="18"/>
                    <w:szCs w:val="18"/>
                  </w:rPr>
                </w:pPr>
                <w:r>
                  <w:rPr>
                    <w:rFonts w:ascii="Arial" w:eastAsia="Arial" w:hAnsi="Arial" w:cs="Arial"/>
                    <w:b/>
                    <w:bCs/>
                    <w:sz w:val="18"/>
                    <w:szCs w:val="18"/>
                  </w:rPr>
                  <w:t xml:space="preserve">    </w:t>
                </w:r>
                <w:r>
                  <w:rPr>
                    <w:rFonts w:ascii="Arial" w:eastAsia="Arial" w:hAnsi="Arial" w:cs="Arial"/>
                    <w:b/>
                    <w:bCs/>
                  </w:rPr>
                  <w:t>Actividades que presentan recortes presupuestales para 2026 en la UAERMV</w:t>
                </w:r>
              </w:p>
            </w:tc>
          </w:tr>
          <w:tr w:rsidR="00743DA6">
            <w:trPr>
              <w:trHeight w:val="1005"/>
            </w:trPr>
            <w:sdt>
              <w:sdtPr>
                <w:tag w:val="goog_rdk_908"/>
                <w:id w:val="679058817"/>
                <w:lock w:val="contentLocked"/>
              </w:sdtPr>
              <w:sdtEndPr/>
              <w:sdtContent>
                <w:tc>
                  <w:tcPr>
                    <w:tcW w:w="3405" w:type="dxa"/>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ACTIVIDAD</w:t>
                    </w:r>
                  </w:p>
                </w:tc>
              </w:sdtContent>
            </w:sdt>
            <w:sdt>
              <w:sdtPr>
                <w:tag w:val="goog_rdk_909"/>
                <w:id w:val="908746077"/>
                <w:lock w:val="contentLocked"/>
              </w:sdtPr>
              <w:sdtEndPr/>
              <w:sdtContent>
                <w:tc>
                  <w:tcPr>
                    <w:tcW w:w="108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2025</w:t>
                    </w:r>
                  </w:p>
                </w:tc>
              </w:sdtContent>
            </w:sdt>
            <w:sdt>
              <w:sdtPr>
                <w:tag w:val="goog_rdk_910"/>
                <w:id w:val="-269196788"/>
                <w:lock w:val="contentLocked"/>
              </w:sdtPr>
              <w:sdtEndPr/>
              <w:sdtContent>
                <w:tc>
                  <w:tcPr>
                    <w:tcW w:w="103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CONTRATADO 2025</w:t>
                    </w:r>
                  </w:p>
                </w:tc>
              </w:sdtContent>
            </w:sdt>
            <w:sdt>
              <w:sdtPr>
                <w:tag w:val="goog_rdk_911"/>
                <w:id w:val="-1067384608"/>
                <w:lock w:val="contentLocked"/>
              </w:sdtPr>
              <w:sdtEndPr/>
              <w:sdtContent>
                <w:tc>
                  <w:tcPr>
                    <w:tcW w:w="78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GIRADO 2025</w:t>
                    </w:r>
                  </w:p>
                </w:tc>
              </w:sdtContent>
            </w:sdt>
            <w:sdt>
              <w:sdtPr>
                <w:tag w:val="goog_rdk_912"/>
                <w:id w:val="573912825"/>
                <w:lock w:val="contentLocked"/>
              </w:sdtPr>
              <w:sdtEndPr/>
              <w:sdtContent>
                <w:tc>
                  <w:tcPr>
                    <w:tcW w:w="111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2026</w:t>
                    </w:r>
                  </w:p>
                </w:tc>
              </w:sdtContent>
            </w:sdt>
            <w:sdt>
              <w:sdtPr>
                <w:tag w:val="goog_rdk_913"/>
                <w:id w:val="1762348488"/>
                <w:lock w:val="contentLocked"/>
              </w:sdtPr>
              <w:sdtEndPr/>
              <w:sdtContent>
                <w:tc>
                  <w:tcPr>
                    <w:tcW w:w="141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DIFERENCIA 2025 - 2026</w:t>
                    </w:r>
                  </w:p>
                </w:tc>
              </w:sdtContent>
            </w:sdt>
          </w:tr>
          <w:tr w:rsidR="00743DA6">
            <w:trPr>
              <w:trHeight w:val="1140"/>
            </w:trPr>
            <w:sdt>
              <w:sdtPr>
                <w:tag w:val="goog_rdk_914"/>
                <w:id w:val="-216074352"/>
                <w:lock w:val="contentLocked"/>
              </w:sdtPr>
              <w:sdtEndPr/>
              <w:sdtContent>
                <w:tc>
                  <w:tcPr>
                    <w:tcW w:w="340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Conservar 73700 Metro(s) cuadrado(s) de la red de infraestructura peatonal.</w:t>
                    </w:r>
                  </w:p>
                </w:tc>
              </w:sdtContent>
            </w:sdt>
            <w:sdt>
              <w:sdtPr>
                <w:tag w:val="goog_rdk_915"/>
                <w:id w:val="-311446092"/>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$ 12,687</w:t>
                    </w:r>
                  </w:p>
                </w:tc>
              </w:sdtContent>
            </w:sdt>
            <w:sdt>
              <w:sdtPr>
                <w:tag w:val="goog_rdk_916"/>
                <w:id w:val="-1022402158"/>
                <w:lock w:val="contentLocked"/>
              </w:sdtPr>
              <w:sdtEndPr/>
              <w:sdtContent>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$ 4,945</w:t>
                    </w:r>
                  </w:p>
                </w:tc>
              </w:sdtContent>
            </w:sdt>
            <w:sdt>
              <w:sdtPr>
                <w:tag w:val="goog_rdk_917"/>
                <w:id w:val="1287662315"/>
                <w:lock w:val="contentLocked"/>
              </w:sdtPr>
              <w:sdtEndPr/>
              <w:sdtContent>
                <w:tc>
                  <w:tcPr>
                    <w:tcW w:w="7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$ 3,121</w:t>
                    </w:r>
                  </w:p>
                </w:tc>
              </w:sdtContent>
            </w:sdt>
            <w:sdt>
              <w:sdtPr>
                <w:tag w:val="goog_rdk_918"/>
                <w:id w:val="-796356288"/>
                <w:lock w:val="contentLocked"/>
              </w:sdtPr>
              <w:sdtEndPr/>
              <w:sdtContent>
                <w:tc>
                  <w:tcPr>
                    <w:tcW w:w="11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$ 7,724</w:t>
                    </w:r>
                  </w:p>
                </w:tc>
              </w:sdtContent>
            </w:sdt>
            <w:sdt>
              <w:sdtPr>
                <w:tag w:val="goog_rdk_919"/>
                <w:id w:val="-116934272"/>
                <w:lock w:val="contentLocked"/>
              </w:sdtPr>
              <w:sdtEndPr/>
              <w:sdtContent>
                <w:tc>
                  <w:tcPr>
                    <w:tcW w:w="14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-$ 4,964</w:t>
                    </w:r>
                  </w:p>
                </w:tc>
              </w:sdtContent>
            </w:sdt>
          </w:tr>
          <w:tr w:rsidR="00743DA6">
            <w:trPr>
              <w:trHeight w:val="765"/>
            </w:trPr>
            <w:sdt>
              <w:sdtPr>
                <w:tag w:val="goog_rdk_920"/>
                <w:id w:val="822617547"/>
                <w:lock w:val="contentLocked"/>
              </w:sdtPr>
              <w:sdtEndPr/>
              <w:sdtContent>
                <w:tc>
                  <w:tcPr>
                    <w:tcW w:w="340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6 - Conservar 47 Kilómetro(s) de cicloinfraestructura del distrito capital</w:t>
                    </w:r>
                  </w:p>
                </w:tc>
              </w:sdtContent>
            </w:sdt>
            <w:sdt>
              <w:sdtPr>
                <w:tag w:val="goog_rdk_921"/>
                <w:id w:val="-1168492977"/>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$ 6,620</w:t>
                    </w:r>
                  </w:p>
                </w:tc>
              </w:sdtContent>
            </w:sdt>
            <w:sdt>
              <w:sdtPr>
                <w:tag w:val="goog_rdk_922"/>
                <w:id w:val="-201898797"/>
                <w:lock w:val="contentLocked"/>
              </w:sdtPr>
              <w:sdtEndPr/>
              <w:sdtContent>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$ 4,328</w:t>
                    </w:r>
                  </w:p>
                </w:tc>
              </w:sdtContent>
            </w:sdt>
            <w:sdt>
              <w:sdtPr>
                <w:tag w:val="goog_rdk_923"/>
                <w:id w:val="113663100"/>
                <w:lock w:val="contentLocked"/>
              </w:sdtPr>
              <w:sdtEndPr/>
              <w:sdtContent>
                <w:tc>
                  <w:tcPr>
                    <w:tcW w:w="7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$ 2,049</w:t>
                    </w:r>
                  </w:p>
                </w:tc>
              </w:sdtContent>
            </w:sdt>
            <w:sdt>
              <w:sdtPr>
                <w:tag w:val="goog_rdk_924"/>
                <w:id w:val="-1180834491"/>
                <w:lock w:val="contentLocked"/>
              </w:sdtPr>
              <w:sdtEndPr/>
              <w:sdtContent>
                <w:tc>
                  <w:tcPr>
                    <w:tcW w:w="11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$ 6,489</w:t>
                    </w:r>
                  </w:p>
                </w:tc>
              </w:sdtContent>
            </w:sdt>
            <w:sdt>
              <w:sdtPr>
                <w:tag w:val="goog_rdk_925"/>
                <w:id w:val="-927208663"/>
                <w:lock w:val="contentLocked"/>
              </w:sdtPr>
              <w:sdtEndPr/>
              <w:sdtContent>
                <w:tc>
                  <w:tcPr>
                    <w:tcW w:w="14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-$ 130</w:t>
                    </w:r>
                  </w:p>
                </w:tc>
              </w:sdtContent>
            </w:sdt>
          </w:tr>
          <w:tr w:rsidR="00743DA6">
            <w:trPr>
              <w:trHeight w:val="765"/>
            </w:trPr>
            <w:sdt>
              <w:sdtPr>
                <w:tag w:val="goog_rdk_926"/>
                <w:id w:val="-1749604833"/>
                <w:lock w:val="contentLocked"/>
              </w:sdtPr>
              <w:sdtEndPr/>
              <w:sdtContent>
                <w:tc>
                  <w:tcPr>
                    <w:tcW w:w="340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Conservar 1341 Kilómetro(s) de la malla vial local, intermedia del distrito capital</w:t>
                    </w:r>
                  </w:p>
                </w:tc>
              </w:sdtContent>
            </w:sdt>
            <w:sdt>
              <w:sdtPr>
                <w:tag w:val="goog_rdk_927"/>
                <w:id w:val="2124192633"/>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$ 137,327</w:t>
                    </w:r>
                  </w:p>
                </w:tc>
              </w:sdtContent>
            </w:sdt>
            <w:sdt>
              <w:sdtPr>
                <w:tag w:val="goog_rdk_928"/>
                <w:id w:val="887854466"/>
                <w:lock w:val="contentLocked"/>
              </w:sdtPr>
              <w:sdtEndPr/>
              <w:sdtContent>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$ 77,058</w:t>
                    </w:r>
                  </w:p>
                </w:tc>
              </w:sdtContent>
            </w:sdt>
            <w:sdt>
              <w:sdtPr>
                <w:tag w:val="goog_rdk_929"/>
                <w:id w:val="-1840776406"/>
                <w:lock w:val="contentLocked"/>
              </w:sdtPr>
              <w:sdtEndPr/>
              <w:sdtContent>
                <w:tc>
                  <w:tcPr>
                    <w:tcW w:w="7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$ 38,957</w:t>
                    </w:r>
                  </w:p>
                </w:tc>
              </w:sdtContent>
            </w:sdt>
            <w:sdt>
              <w:sdtPr>
                <w:tag w:val="goog_rdk_930"/>
                <w:id w:val="525445076"/>
                <w:lock w:val="contentLocked"/>
              </w:sdtPr>
              <w:sdtEndPr/>
              <w:sdtContent>
                <w:tc>
                  <w:tcPr>
                    <w:tcW w:w="11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$ 96,384</w:t>
                    </w:r>
                  </w:p>
                </w:tc>
              </w:sdtContent>
            </w:sdt>
            <w:sdt>
              <w:sdtPr>
                <w:tag w:val="goog_rdk_931"/>
                <w:id w:val="1541376090"/>
                <w:lock w:val="contentLocked"/>
              </w:sdtPr>
              <w:sdtEndPr/>
              <w:sdtContent>
                <w:tc>
                  <w:tcPr>
                    <w:tcW w:w="14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-$ 40,943</w:t>
                    </w:r>
                  </w:p>
                </w:tc>
              </w:sdtContent>
            </w:sdt>
          </w:tr>
          <w:tr w:rsidR="00743DA6">
            <w:trPr>
              <w:trHeight w:val="420"/>
            </w:trPr>
            <w:sdt>
              <w:sdtPr>
                <w:tag w:val="goog_rdk_932"/>
                <w:id w:val="-2023503109"/>
                <w:lock w:val="contentLocked"/>
              </w:sdtPr>
              <w:sdtEndPr/>
              <w:sdtContent>
                <w:tc>
                  <w:tcPr>
                    <w:tcW w:w="340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Conservar 4 Kilómetro(s) de la malla vial arterial del distrito capital y realizar apoyos interinstitucionales</w:t>
                    </w:r>
                  </w:p>
                </w:tc>
              </w:sdtContent>
            </w:sdt>
            <w:sdt>
              <w:sdtPr>
                <w:tag w:val="goog_rdk_933"/>
                <w:id w:val="-1459511897"/>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$ 10,783</w:t>
                    </w:r>
                  </w:p>
                </w:tc>
              </w:sdtContent>
            </w:sdt>
            <w:sdt>
              <w:sdtPr>
                <w:tag w:val="goog_rdk_934"/>
                <w:id w:val="1809763818"/>
                <w:lock w:val="contentLocked"/>
              </w:sdtPr>
              <w:sdtEndPr/>
              <w:sdtContent>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$ 309</w:t>
                    </w:r>
                  </w:p>
                </w:tc>
              </w:sdtContent>
            </w:sdt>
            <w:sdt>
              <w:sdtPr>
                <w:tag w:val="goog_rdk_935"/>
                <w:id w:val="-561053599"/>
                <w:lock w:val="contentLocked"/>
              </w:sdtPr>
              <w:sdtEndPr/>
              <w:sdtContent>
                <w:tc>
                  <w:tcPr>
                    <w:tcW w:w="7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$ 154</w:t>
                    </w:r>
                  </w:p>
                </w:tc>
              </w:sdtContent>
            </w:sdt>
            <w:sdt>
              <w:sdtPr>
                <w:tag w:val="goog_rdk_936"/>
                <w:id w:val="-1963814518"/>
                <w:lock w:val="contentLocked"/>
              </w:sdtPr>
              <w:sdtEndPr/>
              <w:sdtContent>
                <w:tc>
                  <w:tcPr>
                    <w:tcW w:w="11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$ 5,197</w:t>
                    </w:r>
                  </w:p>
                </w:tc>
              </w:sdtContent>
            </w:sdt>
            <w:sdt>
              <w:sdtPr>
                <w:tag w:val="goog_rdk_937"/>
                <w:id w:val="-134730222"/>
                <w:lock w:val="contentLocked"/>
              </w:sdtPr>
              <w:sdtEndPr/>
              <w:sdtContent>
                <w:tc>
                  <w:tcPr>
                    <w:tcW w:w="14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-$ 5,586</w:t>
                    </w:r>
                  </w:p>
                </w:tc>
              </w:sdtContent>
            </w:sdt>
          </w:tr>
          <w:tr w:rsidR="00743DA6">
            <w:trPr>
              <w:trHeight w:val="1260"/>
            </w:trPr>
            <w:sdt>
              <w:sdtPr>
                <w:tag w:val="goog_rdk_938"/>
                <w:id w:val="-178638609"/>
                <w:lock w:val="contentLocked"/>
              </w:sdtPr>
              <w:sdtEndPr/>
              <w:sdtContent>
                <w:tc>
                  <w:tcPr>
                    <w:tcW w:w="340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Ejecutar 12 Proyecto(s) encaminados a actualizar los módulos de los sistemas de información SIGMA, Calíope y Orfeo e Implementar el plan de mantenimiento de sistemas de información</w:t>
                    </w:r>
                  </w:p>
                </w:tc>
              </w:sdtContent>
            </w:sdt>
            <w:sdt>
              <w:sdtPr>
                <w:tag w:val="goog_rdk_939"/>
                <w:id w:val="827109650"/>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$ 2,063</w:t>
                    </w:r>
                  </w:p>
                </w:tc>
              </w:sdtContent>
            </w:sdt>
            <w:sdt>
              <w:sdtPr>
                <w:tag w:val="goog_rdk_940"/>
                <w:id w:val="932190927"/>
                <w:lock w:val="contentLocked"/>
              </w:sdtPr>
              <w:sdtEndPr/>
              <w:sdtContent>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$ 1,069</w:t>
                    </w:r>
                  </w:p>
                </w:tc>
              </w:sdtContent>
            </w:sdt>
            <w:sdt>
              <w:sdtPr>
                <w:tag w:val="goog_rdk_941"/>
                <w:id w:val="303569663"/>
                <w:lock w:val="contentLocked"/>
              </w:sdtPr>
              <w:sdtEndPr/>
              <w:sdtContent>
                <w:tc>
                  <w:tcPr>
                    <w:tcW w:w="7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$ 672</w:t>
                    </w:r>
                  </w:p>
                </w:tc>
              </w:sdtContent>
            </w:sdt>
            <w:sdt>
              <w:sdtPr>
                <w:tag w:val="goog_rdk_942"/>
                <w:id w:val="-1213870164"/>
                <w:lock w:val="contentLocked"/>
              </w:sdtPr>
              <w:sdtEndPr/>
              <w:sdtContent>
                <w:tc>
                  <w:tcPr>
                    <w:tcW w:w="11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$ 1,809</w:t>
                    </w:r>
                  </w:p>
                </w:tc>
              </w:sdtContent>
            </w:sdt>
            <w:sdt>
              <w:sdtPr>
                <w:tag w:val="goog_rdk_943"/>
                <w:id w:val="-1413648288"/>
                <w:lock w:val="contentLocked"/>
              </w:sdtPr>
              <w:sdtEndPr/>
              <w:sdtContent>
                <w:tc>
                  <w:tcPr>
                    <w:tcW w:w="14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-$ 254</w:t>
                    </w:r>
                  </w:p>
                </w:tc>
              </w:sdtContent>
            </w:sdt>
          </w:tr>
          <w:tr w:rsidR="00743DA6">
            <w:trPr>
              <w:trHeight w:val="1380"/>
            </w:trPr>
            <w:sdt>
              <w:sdtPr>
                <w:tag w:val="goog_rdk_944"/>
                <w:id w:val="445527171"/>
                <w:lock w:val="contentLocked"/>
              </w:sdtPr>
              <w:sdtEndPr/>
              <w:sdtContent>
                <w:tc>
                  <w:tcPr>
                    <w:tcW w:w="340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3 - Garantizar la disponibilidad del 94 Porciento de los servicios tecnológicos que intervienen en los sistemas SIGMA, Calíope, Orfeo y Portales Web</w:t>
                    </w:r>
                  </w:p>
                </w:tc>
              </w:sdtContent>
            </w:sdt>
            <w:sdt>
              <w:sdtPr>
                <w:tag w:val="goog_rdk_945"/>
                <w:id w:val="398140135"/>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$ 5,608</w:t>
                    </w:r>
                  </w:p>
                </w:tc>
              </w:sdtContent>
            </w:sdt>
            <w:sdt>
              <w:sdtPr>
                <w:tag w:val="goog_rdk_946"/>
                <w:id w:val="1831121616"/>
                <w:lock w:val="contentLocked"/>
              </w:sdtPr>
              <w:sdtEndPr/>
              <w:sdtContent>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$ 2,037</w:t>
                    </w:r>
                  </w:p>
                </w:tc>
              </w:sdtContent>
            </w:sdt>
            <w:sdt>
              <w:sdtPr>
                <w:tag w:val="goog_rdk_947"/>
                <w:id w:val="-699473343"/>
                <w:lock w:val="contentLocked"/>
              </w:sdtPr>
              <w:sdtEndPr/>
              <w:sdtContent>
                <w:tc>
                  <w:tcPr>
                    <w:tcW w:w="7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$ 1,554</w:t>
                    </w:r>
                  </w:p>
                </w:tc>
              </w:sdtContent>
            </w:sdt>
            <w:sdt>
              <w:sdtPr>
                <w:tag w:val="goog_rdk_948"/>
                <w:id w:val="187340329"/>
                <w:lock w:val="contentLocked"/>
              </w:sdtPr>
              <w:sdtEndPr/>
              <w:sdtContent>
                <w:tc>
                  <w:tcPr>
                    <w:tcW w:w="11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$ 4,569</w:t>
                    </w:r>
                  </w:p>
                </w:tc>
              </w:sdtContent>
            </w:sdt>
            <w:sdt>
              <w:sdtPr>
                <w:tag w:val="goog_rdk_949"/>
                <w:id w:val="1838277863"/>
                <w:lock w:val="contentLocked"/>
              </w:sdtPr>
              <w:sdtEndPr/>
              <w:sdtContent>
                <w:tc>
                  <w:tcPr>
                    <w:tcW w:w="14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-$ 1,039</w:t>
                    </w:r>
                  </w:p>
                </w:tc>
              </w:sdtContent>
            </w:sdt>
          </w:tr>
          <w:tr w:rsidR="00743DA6">
            <w:trPr>
              <w:trHeight w:val="1080"/>
            </w:trPr>
            <w:sdt>
              <w:sdtPr>
                <w:tag w:val="goog_rdk_950"/>
                <w:id w:val="605511240"/>
                <w:lock w:val="contentLocked"/>
              </w:sdtPr>
              <w:sdtEndPr/>
              <w:sdtContent>
                <w:tc>
                  <w:tcPr>
                    <w:tcW w:w="340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1 - Mantener, optimizar y modernizar 1 Modelo(s) integrado de planeación y gestión - MIPG en la Entidad</w:t>
                    </w:r>
                  </w:p>
                </w:tc>
              </w:sdtContent>
            </w:sdt>
            <w:sdt>
              <w:sdtPr>
                <w:tag w:val="goog_rdk_951"/>
                <w:id w:val="966488087"/>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$ 15,149</w:t>
                    </w:r>
                  </w:p>
                </w:tc>
              </w:sdtContent>
            </w:sdt>
            <w:sdt>
              <w:sdtPr>
                <w:tag w:val="goog_rdk_952"/>
                <w:id w:val="-1842349838"/>
                <w:lock w:val="contentLocked"/>
              </w:sdtPr>
              <w:sdtEndPr/>
              <w:sdtContent>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$ 9,959</w:t>
                    </w:r>
                  </w:p>
                </w:tc>
              </w:sdtContent>
            </w:sdt>
            <w:sdt>
              <w:sdtPr>
                <w:tag w:val="goog_rdk_953"/>
                <w:id w:val="2025897420"/>
                <w:lock w:val="contentLocked"/>
              </w:sdtPr>
              <w:sdtEndPr/>
              <w:sdtContent>
                <w:tc>
                  <w:tcPr>
                    <w:tcW w:w="7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$ 6,520</w:t>
                    </w:r>
                  </w:p>
                </w:tc>
              </w:sdtContent>
            </w:sdt>
            <w:sdt>
              <w:sdtPr>
                <w:tag w:val="goog_rdk_954"/>
                <w:id w:val="-148630463"/>
                <w:lock w:val="contentLocked"/>
              </w:sdtPr>
              <w:sdtEndPr/>
              <w:sdtContent>
                <w:tc>
                  <w:tcPr>
                    <w:tcW w:w="11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$ 13,282</w:t>
                    </w:r>
                  </w:p>
                </w:tc>
              </w:sdtContent>
            </w:sdt>
            <w:sdt>
              <w:sdtPr>
                <w:tag w:val="goog_rdk_955"/>
                <w:id w:val="1357286820"/>
                <w:lock w:val="contentLocked"/>
              </w:sdtPr>
              <w:sdtEndPr/>
              <w:sdtContent>
                <w:tc>
                  <w:tcPr>
                    <w:tcW w:w="14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-$ 1,866</w:t>
                    </w:r>
                  </w:p>
                </w:tc>
              </w:sdtContent>
            </w:sdt>
          </w:tr>
          <w:tr w:rsidR="00743DA6">
            <w:trPr>
              <w:trHeight w:val="1005"/>
            </w:trPr>
            <w:sdt>
              <w:sdtPr>
                <w:tag w:val="goog_rdk_956"/>
                <w:id w:val="-1448082330"/>
                <w:lock w:val="contentLocked"/>
              </w:sdtPr>
              <w:sdtEndPr/>
              <w:sdtContent>
                <w:tc>
                  <w:tcPr>
                    <w:tcW w:w="340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18"/>
                        <w:szCs w:val="18"/>
                      </w:rPr>
                    </w:pPr>
                    <w:r>
                      <w:rPr>
                        <w:rFonts w:ascii="Arial" w:eastAsia="Arial" w:hAnsi="Arial" w:cs="Arial"/>
                        <w:sz w:val="18"/>
                        <w:szCs w:val="18"/>
                      </w:rPr>
                      <w:t>2 - Adecuación y mantenimiento de 2 Sede(s) de la UAERMV</w:t>
                    </w:r>
                  </w:p>
                </w:tc>
              </w:sdtContent>
            </w:sdt>
            <w:sdt>
              <w:sdtPr>
                <w:tag w:val="goog_rdk_957"/>
                <w:id w:val="1967781688"/>
                <w:lock w:val="contentLocked"/>
              </w:sdtPr>
              <w:sdtEndPr/>
              <w:sdtContent>
                <w:tc>
                  <w:tcPr>
                    <w:tcW w:w="10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$ 15,281</w:t>
                    </w:r>
                  </w:p>
                </w:tc>
              </w:sdtContent>
            </w:sdt>
            <w:sdt>
              <w:sdtPr>
                <w:tag w:val="goog_rdk_958"/>
                <w:id w:val="-1800083457"/>
                <w:lock w:val="contentLocked"/>
              </w:sdtPr>
              <w:sdtEndPr/>
              <w:sdtContent>
                <w:tc>
                  <w:tcPr>
                    <w:tcW w:w="103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$ 3,669</w:t>
                    </w:r>
                  </w:p>
                </w:tc>
              </w:sdtContent>
            </w:sdt>
            <w:sdt>
              <w:sdtPr>
                <w:tag w:val="goog_rdk_959"/>
                <w:id w:val="-1402252986"/>
                <w:lock w:val="contentLocked"/>
              </w:sdtPr>
              <w:sdtEndPr/>
              <w:sdtContent>
                <w:tc>
                  <w:tcPr>
                    <w:tcW w:w="78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$ 1,531</w:t>
                    </w:r>
                  </w:p>
                </w:tc>
              </w:sdtContent>
            </w:sdt>
            <w:sdt>
              <w:sdtPr>
                <w:tag w:val="goog_rdk_960"/>
                <w:id w:val="1361053600"/>
                <w:lock w:val="contentLocked"/>
              </w:sdtPr>
              <w:sdtEndPr/>
              <w:sdtContent>
                <w:tc>
                  <w:tcPr>
                    <w:tcW w:w="11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sz w:val="18"/>
                        <w:szCs w:val="18"/>
                      </w:rPr>
                      <w:t>$ 12,034</w:t>
                    </w:r>
                  </w:p>
                </w:tc>
              </w:sdtContent>
            </w:sdt>
            <w:sdt>
              <w:sdtPr>
                <w:tag w:val="goog_rdk_961"/>
                <w:id w:val="1159677119"/>
                <w:lock w:val="contentLocked"/>
              </w:sdtPr>
              <w:sdtEndPr/>
              <w:sdtContent>
                <w:tc>
                  <w:tcPr>
                    <w:tcW w:w="141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18"/>
                        <w:szCs w:val="18"/>
                      </w:rPr>
                    </w:pPr>
                    <w:r>
                      <w:rPr>
                        <w:rFonts w:ascii="Arial" w:eastAsia="Arial" w:hAnsi="Arial" w:cs="Arial"/>
                        <w:color w:val="FF0000"/>
                        <w:sz w:val="18"/>
                        <w:szCs w:val="18"/>
                      </w:rPr>
                      <w:t>-$ 3,247</w:t>
                    </w:r>
                  </w:p>
                </w:tc>
              </w:sdtContent>
            </w:sdt>
          </w:tr>
        </w:tbl>
      </w:sdtContent>
    </w:sdt>
    <w:p w:rsidR="00743DA6" w:rsidRDefault="00743DA6">
      <w:pPr>
        <w:pBdr>
          <w:top w:val="nil"/>
          <w:left w:val="nil"/>
          <w:bottom w:val="nil"/>
          <w:right w:val="nil"/>
          <w:between w:val="nil"/>
        </w:pBdr>
        <w:spacing w:after="160" w:line="259" w:lineRule="auto"/>
      </w:pPr>
    </w:p>
    <w:p w:rsidR="00743DA6" w:rsidRDefault="00D95D19">
      <w:pPr>
        <w:pStyle w:val="Ttulo4"/>
        <w:keepNext w:val="0"/>
        <w:spacing w:after="40" w:line="259" w:lineRule="auto"/>
        <w:jc w:val="both"/>
        <w:rPr>
          <w:rFonts w:ascii="Arial" w:eastAsia="Arial" w:hAnsi="Arial" w:cs="Arial"/>
          <w:sz w:val="22"/>
          <w:szCs w:val="22"/>
        </w:rPr>
      </w:pPr>
      <w:bookmarkStart w:id="37" w:name="_heading=h.kid1sz2pi9kv" w:colFirst="0" w:colLast="0"/>
      <w:bookmarkEnd w:id="37"/>
      <w:r>
        <w:rPr>
          <w:rFonts w:ascii="Arial" w:eastAsia="Arial" w:hAnsi="Arial" w:cs="Arial"/>
          <w:sz w:val="22"/>
          <w:szCs w:val="22"/>
        </w:rPr>
        <w:t>1. Actividades con Recorte Presupuestal (Castigo a la Ineficiencia Operativa)</w:t>
      </w:r>
    </w:p>
    <w:p w:rsidR="00743DA6" w:rsidRDefault="00D95D19">
      <w:pPr>
        <w:spacing w:before="240" w:after="240" w:line="259" w:lineRule="auto"/>
        <w:jc w:val="both"/>
        <w:rPr>
          <w:sz w:val="22"/>
          <w:szCs w:val="22"/>
        </w:rPr>
      </w:pPr>
      <w:r>
        <w:rPr>
          <w:sz w:val="22"/>
          <w:szCs w:val="22"/>
        </w:rPr>
        <w:t>Los recortes más drásticos se concentran en el "core" del negocio: la conservación de la malla vial urbana, que presentó una parálisis alarmante.</w:t>
      </w:r>
    </w:p>
    <w:p w:rsidR="00743DA6" w:rsidRDefault="00D95D19">
      <w:pPr>
        <w:spacing w:before="240" w:after="240" w:line="259" w:lineRule="auto"/>
        <w:jc w:val="both"/>
        <w:rPr>
          <w:sz w:val="22"/>
          <w:szCs w:val="22"/>
        </w:rPr>
      </w:pPr>
      <w:r>
        <w:rPr>
          <w:sz w:val="22"/>
          <w:szCs w:val="22"/>
        </w:rPr>
        <w:t xml:space="preserve">Malla Vial Local e Intermedia: El recorte más grande de toda la entidad recae sobre la actividad </w:t>
      </w:r>
      <w:r>
        <w:rPr>
          <w:i/>
          <w:iCs/>
          <w:sz w:val="22"/>
          <w:szCs w:val="22"/>
        </w:rPr>
        <w:t>"Conservar 1.341 km de la malla vial local e intermedia"</w:t>
      </w:r>
      <w:r>
        <w:rPr>
          <w:sz w:val="22"/>
          <w:szCs w:val="22"/>
        </w:rPr>
        <w:t>, con una reducción de -$40.943 millones. Esta decisión es la consecuencia directa de una ejecución crítica del 28.4% en 2025. La entidad dejó de intervenir los barrios por incapacidad de gestión, y la respuesta presupuestal es retirar los fondos.</w:t>
      </w:r>
    </w:p>
    <w:p w:rsidR="00743DA6" w:rsidRDefault="00D95D19">
      <w:pPr>
        <w:spacing w:before="240" w:after="240" w:line="259" w:lineRule="auto"/>
        <w:jc w:val="both"/>
        <w:rPr>
          <w:sz w:val="22"/>
          <w:szCs w:val="22"/>
        </w:rPr>
      </w:pPr>
      <w:r>
        <w:rPr>
          <w:sz w:val="22"/>
          <w:szCs w:val="22"/>
        </w:rPr>
        <w:t>Malla Vial Arterial: Se retiran -$5.586 millones de la conservación de la malla vial arterial, tras una ejecución casi nula del 1.4%. Esto confirma que la UAERMV abandonó prácticamente su rol de apoyo en vías principales durante 2025.</w:t>
      </w:r>
    </w:p>
    <w:p w:rsidR="00743DA6" w:rsidRDefault="00D95D19">
      <w:pPr>
        <w:spacing w:before="240" w:after="240" w:line="259" w:lineRule="auto"/>
        <w:jc w:val="both"/>
        <w:rPr>
          <w:sz w:val="22"/>
          <w:szCs w:val="22"/>
        </w:rPr>
      </w:pPr>
      <w:r>
        <w:rPr>
          <w:sz w:val="22"/>
          <w:szCs w:val="22"/>
        </w:rPr>
        <w:t xml:space="preserve">Espacio Público (Andenes): La infraestructura peatonal también sufre, con un recorte de -$4.964 millones a la actividad de </w:t>
      </w:r>
      <w:r>
        <w:rPr>
          <w:i/>
          <w:iCs/>
          <w:sz w:val="22"/>
          <w:szCs w:val="22"/>
        </w:rPr>
        <w:t>"Conservar 73.700 m2 de infraestructura peatonal"</w:t>
      </w:r>
      <w:r>
        <w:rPr>
          <w:sz w:val="22"/>
          <w:szCs w:val="22"/>
        </w:rPr>
        <w:t>, la cual tuvo una ejecución del 24.6%.</w:t>
      </w:r>
    </w:p>
    <w:p w:rsidR="00743DA6" w:rsidRDefault="00D95D19">
      <w:pPr>
        <w:spacing w:before="240" w:after="240" w:line="259" w:lineRule="auto"/>
        <w:jc w:val="both"/>
        <w:rPr>
          <w:sz w:val="22"/>
          <w:szCs w:val="22"/>
        </w:rPr>
      </w:pPr>
      <w:r>
        <w:rPr>
          <w:sz w:val="22"/>
          <w:szCs w:val="22"/>
        </w:rPr>
        <w:t>Infraestructura Sede: Se castiga la ineficiencia administrativa con un recorte de -$3.247 millones al mantenimiento de las sedes de la entidad, actividad que solo ejecutó el 10% de sus recursos.</w:t>
      </w:r>
    </w:p>
    <w:p w:rsidR="00743DA6" w:rsidRDefault="00D95D19">
      <w:pPr>
        <w:spacing w:after="160" w:line="259" w:lineRule="auto"/>
        <w:jc w:val="both"/>
        <w:rPr>
          <w:b/>
          <w:bCs/>
          <w:sz w:val="22"/>
          <w:szCs w:val="22"/>
        </w:rPr>
      </w:pPr>
      <w:r>
        <w:rPr>
          <w:b/>
          <w:bCs/>
          <w:sz w:val="22"/>
          <w:szCs w:val="22"/>
        </w:rPr>
        <w:t>Tabla No. 64 Actividades con Aumentos Presupuestales</w:t>
      </w:r>
    </w:p>
    <w:sdt>
      <w:sdtPr>
        <w:rPr>
          <w:rFonts w:ascii="Arial" w:eastAsia="Arial" w:hAnsi="Arial" w:cs="Arial"/>
          <w:sz w:val="24"/>
          <w:szCs w:val="24"/>
          <w:lang w:val="es" w:eastAsia="es-CO"/>
        </w:rPr>
        <w:tag w:val="goog_rdk_999"/>
        <w:id w:val="-350181108"/>
        <w:lock w:val="contentLocked"/>
      </w:sdtPr>
      <w:sdtEndPr/>
      <w:sdtContent>
        <w:tbl>
          <w:tblPr>
            <w:tblStyle w:val="affffffffa"/>
            <w:tblW w:w="8820" w:type="dxa"/>
            <w:tblBorders>
              <w:top w:val="nil"/>
              <w:left w:val="nil"/>
              <w:bottom w:val="nil"/>
              <w:right w:val="nil"/>
              <w:insideH w:val="nil"/>
              <w:insideV w:val="nil"/>
            </w:tblBorders>
            <w:tblLayout w:type="fixed"/>
            <w:tblLook w:val="0600" w:firstRow="0" w:lastRow="0" w:firstColumn="0" w:lastColumn="0" w:noHBand="1" w:noVBand="1"/>
          </w:tblPr>
          <w:tblGrid>
            <w:gridCol w:w="3525"/>
            <w:gridCol w:w="1020"/>
            <w:gridCol w:w="930"/>
            <w:gridCol w:w="900"/>
            <w:gridCol w:w="1245"/>
            <w:gridCol w:w="1200"/>
          </w:tblGrid>
          <w:tr w:rsidR="00743DA6">
            <w:trPr>
              <w:trHeight w:val="1005"/>
            </w:trPr>
            <w:tc>
              <w:tcPr>
                <w:tcW w:w="8820" w:type="dxa"/>
                <w:gridSpan w:val="6"/>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jc w:val="center"/>
                  <w:rPr>
                    <w:rFonts w:ascii="Arial" w:eastAsia="Arial" w:hAnsi="Arial" w:cs="Arial"/>
                    <w:b/>
                    <w:bCs/>
                  </w:rPr>
                </w:pPr>
                <w:r>
                  <w:rPr>
                    <w:rFonts w:ascii="Arial" w:eastAsia="Arial" w:hAnsi="Arial" w:cs="Arial"/>
                    <w:b/>
                    <w:bCs/>
                  </w:rPr>
                  <w:t xml:space="preserve">    Actividades que presentan aumentos presupuestales para 2026 en la UAERMV</w:t>
                </w:r>
              </w:p>
            </w:tc>
          </w:tr>
          <w:tr w:rsidR="00743DA6">
            <w:trPr>
              <w:trHeight w:val="1005"/>
            </w:trPr>
            <w:sdt>
              <w:sdtPr>
                <w:tag w:val="goog_rdk_963"/>
                <w:id w:val="1836538256"/>
                <w:lock w:val="contentLocked"/>
              </w:sdtPr>
              <w:sdtEndPr/>
              <w:sdtContent>
                <w:tc>
                  <w:tcPr>
                    <w:tcW w:w="3525" w:type="dxa"/>
                    <w:tcBorders>
                      <w:top w:val="single" w:sz="7" w:space="0" w:color="000000"/>
                      <w:left w:val="single" w:sz="7" w:space="0" w:color="000000"/>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ACTIVIDAD</w:t>
                    </w:r>
                  </w:p>
                </w:tc>
              </w:sdtContent>
            </w:sdt>
            <w:sdt>
              <w:sdtPr>
                <w:tag w:val="goog_rdk_964"/>
                <w:id w:val="-245201849"/>
                <w:lock w:val="contentLocked"/>
              </w:sdtPr>
              <w:sdtEndPr/>
              <w:sdtContent>
                <w:tc>
                  <w:tcPr>
                    <w:tcW w:w="102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2025</w:t>
                    </w:r>
                  </w:p>
                </w:tc>
              </w:sdtContent>
            </w:sdt>
            <w:sdt>
              <w:sdtPr>
                <w:tag w:val="goog_rdk_965"/>
                <w:id w:val="-948660759"/>
                <w:lock w:val="contentLocked"/>
              </w:sdtPr>
              <w:sdtEndPr/>
              <w:sdtContent>
                <w:tc>
                  <w:tcPr>
                    <w:tcW w:w="93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CONTRATADO 2025</w:t>
                    </w:r>
                  </w:p>
                </w:tc>
              </w:sdtContent>
            </w:sdt>
            <w:sdt>
              <w:sdtPr>
                <w:tag w:val="goog_rdk_966"/>
                <w:id w:val="-1971624637"/>
                <w:lock w:val="contentLocked"/>
              </w:sdtPr>
              <w:sdtEndPr/>
              <w:sdtContent>
                <w:tc>
                  <w:tcPr>
                    <w:tcW w:w="90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GIRADO 2025</w:t>
                    </w:r>
                  </w:p>
                </w:tc>
              </w:sdtContent>
            </w:sdt>
            <w:sdt>
              <w:sdtPr>
                <w:tag w:val="goog_rdk_967"/>
                <w:id w:val="-880016499"/>
                <w:lock w:val="contentLocked"/>
              </w:sdtPr>
              <w:sdtEndPr/>
              <w:sdtContent>
                <w:tc>
                  <w:tcPr>
                    <w:tcW w:w="1245"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PRESUPUESTO 2026</w:t>
                    </w:r>
                  </w:p>
                </w:tc>
              </w:sdtContent>
            </w:sdt>
            <w:sdt>
              <w:sdtPr>
                <w:tag w:val="goog_rdk_968"/>
                <w:id w:val="-1282963191"/>
                <w:lock w:val="contentLocked"/>
              </w:sdtPr>
              <w:sdtEndPr/>
              <w:sdtContent>
                <w:tc>
                  <w:tcPr>
                    <w:tcW w:w="1200" w:type="dxa"/>
                    <w:tcBorders>
                      <w:top w:val="single" w:sz="7" w:space="0" w:color="000000"/>
                      <w:left w:val="single" w:sz="7" w:space="0" w:color="CCCCCC"/>
                      <w:bottom w:val="single" w:sz="7" w:space="0" w:color="9CC2E5"/>
                      <w:right w:val="single" w:sz="7" w:space="0" w:color="000000"/>
                    </w:tcBorders>
                    <w:shd w:val="clear" w:color="auto" w:fill="D9D9D9"/>
                    <w:tcMar>
                      <w:top w:w="40" w:type="dxa"/>
                      <w:left w:w="40" w:type="dxa"/>
                      <w:bottom w:w="40" w:type="dxa"/>
                      <w:right w:w="40" w:type="dxa"/>
                    </w:tcMar>
                    <w:vAlign w:val="bottom"/>
                  </w:tcPr>
                  <w:p w:rsidR="00743DA6" w:rsidRDefault="00D95D19">
                    <w:pPr>
                      <w:spacing w:before="240" w:after="240" w:line="276" w:lineRule="auto"/>
                      <w:rPr>
                        <w:rFonts w:ascii="Arial" w:eastAsia="Arial" w:hAnsi="Arial" w:cs="Arial"/>
                        <w:sz w:val="18"/>
                        <w:szCs w:val="18"/>
                      </w:rPr>
                    </w:pPr>
                    <w:r>
                      <w:rPr>
                        <w:rFonts w:ascii="Arial" w:eastAsia="Arial" w:hAnsi="Arial" w:cs="Arial"/>
                        <w:sz w:val="18"/>
                        <w:szCs w:val="18"/>
                      </w:rPr>
                      <w:t>DIFERENCIA 2025 - 2026</w:t>
                    </w:r>
                  </w:p>
                </w:tc>
              </w:sdtContent>
            </w:sdt>
          </w:tr>
          <w:tr w:rsidR="00743DA6">
            <w:trPr>
              <w:trHeight w:val="525"/>
            </w:trPr>
            <w:sdt>
              <w:sdtPr>
                <w:tag w:val="goog_rdk_969"/>
                <w:id w:val="-517066927"/>
                <w:lock w:val="contentLocked"/>
              </w:sdtPr>
              <w:sdtEndPr/>
              <w:sdtContent>
                <w:tc>
                  <w:tcPr>
                    <w:tcW w:w="35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20"/>
                        <w:szCs w:val="20"/>
                      </w:rPr>
                    </w:pPr>
                    <w:r>
                      <w:rPr>
                        <w:rFonts w:ascii="Arial" w:eastAsia="Arial" w:hAnsi="Arial" w:cs="Arial"/>
                        <w:sz w:val="20"/>
                        <w:szCs w:val="20"/>
                      </w:rPr>
                      <w:t>3 - Intervenir 20 Kilómetro(s) de la malla vial rural</w:t>
                    </w:r>
                  </w:p>
                </w:tc>
              </w:sdtContent>
            </w:sdt>
            <w:sdt>
              <w:sdtPr>
                <w:tag w:val="goog_rdk_970"/>
                <w:id w:val="224415566"/>
                <w:lock w:val="contentLocked"/>
              </w:sdtPr>
              <w:sdtEndPr/>
              <w:sdtContent>
                <w:tc>
                  <w:tcPr>
                    <w:tcW w:w="102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$ 8,191</w:t>
                    </w:r>
                  </w:p>
                </w:tc>
              </w:sdtContent>
            </w:sdt>
            <w:sdt>
              <w:sdtPr>
                <w:tag w:val="goog_rdk_971"/>
                <w:id w:val="1056961149"/>
                <w:lock w:val="contentLocked"/>
              </w:sdtPr>
              <w:sdtEndPr/>
              <w:sdtContent>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$ 5,245</w:t>
                    </w:r>
                  </w:p>
                </w:tc>
              </w:sdtContent>
            </w:sdt>
            <w:sdt>
              <w:sdtPr>
                <w:tag w:val="goog_rdk_972"/>
                <w:id w:val="-1135748013"/>
                <w:lock w:val="contentLocked"/>
              </w:sdtPr>
              <w:sdtEndPr/>
              <w:sdtContent>
                <w:tc>
                  <w:tcPr>
                    <w:tcW w:w="90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$ 2,040</w:t>
                    </w:r>
                  </w:p>
                </w:tc>
              </w:sdtContent>
            </w:sdt>
            <w:sdt>
              <w:sdtPr>
                <w:tag w:val="goog_rdk_973"/>
                <w:id w:val="-528212230"/>
                <w:lock w:val="contentLocked"/>
              </w:sdtPr>
              <w:sdtEndPr/>
              <w:sdtContent>
                <w:tc>
                  <w:tcPr>
                    <w:tcW w:w="12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$ 11,913</w:t>
                    </w:r>
                  </w:p>
                </w:tc>
              </w:sdtContent>
            </w:sdt>
            <w:sdt>
              <w:sdtPr>
                <w:tag w:val="goog_rdk_974"/>
                <w:id w:val="-1831031932"/>
                <w:lock w:val="contentLocked"/>
              </w:sdtPr>
              <w:sdtEndPr/>
              <w:sdtContent>
                <w:tc>
                  <w:tcPr>
                    <w:tcW w:w="120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$ 3,722</w:t>
                    </w:r>
                  </w:p>
                </w:tc>
              </w:sdtContent>
            </w:sdt>
          </w:tr>
          <w:tr w:rsidR="00743DA6">
            <w:trPr>
              <w:trHeight w:val="840"/>
            </w:trPr>
            <w:sdt>
              <w:sdtPr>
                <w:tag w:val="goog_rdk_975"/>
                <w:id w:val="1121641366"/>
                <w:lock w:val="contentLocked"/>
              </w:sdtPr>
              <w:sdtEndPr/>
              <w:sdtContent>
                <w:tc>
                  <w:tcPr>
                    <w:tcW w:w="35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20"/>
                        <w:szCs w:val="20"/>
                      </w:rPr>
                    </w:pPr>
                    <w:r>
                      <w:rPr>
                        <w:rFonts w:ascii="Arial" w:eastAsia="Arial" w:hAnsi="Arial" w:cs="Arial"/>
                        <w:sz w:val="20"/>
                        <w:szCs w:val="20"/>
                      </w:rPr>
                      <w:t>7 - Adquirir 85 Unidad(es) de maquinaria y equipo.</w:t>
                    </w:r>
                  </w:p>
                </w:tc>
              </w:sdtContent>
            </w:sdt>
            <w:sdt>
              <w:sdtPr>
                <w:tag w:val="goog_rdk_976"/>
                <w:id w:val="-1246825003"/>
                <w:lock w:val="contentLocked"/>
              </w:sdtPr>
              <w:sdtEndPr/>
              <w:sdtContent>
                <w:tc>
                  <w:tcPr>
                    <w:tcW w:w="102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$ 8,976</w:t>
                    </w:r>
                  </w:p>
                </w:tc>
              </w:sdtContent>
            </w:sdt>
            <w:sdt>
              <w:sdtPr>
                <w:tag w:val="goog_rdk_977"/>
                <w:id w:val="1328870832"/>
                <w:lock w:val="contentLocked"/>
              </w:sdtPr>
              <w:sdtEndPr/>
              <w:sdtContent>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$ 0</w:t>
                    </w:r>
                  </w:p>
                </w:tc>
              </w:sdtContent>
            </w:sdt>
            <w:sdt>
              <w:sdtPr>
                <w:tag w:val="goog_rdk_978"/>
                <w:id w:val="2078811606"/>
                <w:lock w:val="contentLocked"/>
              </w:sdtPr>
              <w:sdtEndPr/>
              <w:sdtContent>
                <w:tc>
                  <w:tcPr>
                    <w:tcW w:w="90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$ 0</w:t>
                    </w:r>
                  </w:p>
                </w:tc>
              </w:sdtContent>
            </w:sdt>
            <w:sdt>
              <w:sdtPr>
                <w:tag w:val="goog_rdk_979"/>
                <w:id w:val="1558567067"/>
                <w:lock w:val="contentLocked"/>
              </w:sdtPr>
              <w:sdtEndPr/>
              <w:sdtContent>
                <w:tc>
                  <w:tcPr>
                    <w:tcW w:w="12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$ 9,881</w:t>
                    </w:r>
                  </w:p>
                </w:tc>
              </w:sdtContent>
            </w:sdt>
            <w:sdt>
              <w:sdtPr>
                <w:tag w:val="goog_rdk_980"/>
                <w:id w:val="788515338"/>
                <w:lock w:val="contentLocked"/>
              </w:sdtPr>
              <w:sdtEndPr/>
              <w:sdtContent>
                <w:tc>
                  <w:tcPr>
                    <w:tcW w:w="120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$ 905</w:t>
                    </w:r>
                  </w:p>
                </w:tc>
              </w:sdtContent>
            </w:sdt>
          </w:tr>
          <w:tr w:rsidR="00743DA6">
            <w:trPr>
              <w:trHeight w:val="705"/>
            </w:trPr>
            <w:sdt>
              <w:sdtPr>
                <w:tag w:val="goog_rdk_981"/>
                <w:id w:val="-1746806474"/>
                <w:lock w:val="contentLocked"/>
              </w:sdtPr>
              <w:sdtEndPr/>
              <w:sdtContent>
                <w:tc>
                  <w:tcPr>
                    <w:tcW w:w="35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20"/>
                        <w:szCs w:val="20"/>
                      </w:rPr>
                    </w:pPr>
                    <w:r>
                      <w:rPr>
                        <w:rFonts w:ascii="Arial" w:eastAsia="Arial" w:hAnsi="Arial" w:cs="Arial"/>
                        <w:sz w:val="20"/>
                        <w:szCs w:val="20"/>
                      </w:rPr>
                      <w:t>5 - Intervenir 20 Punto(s) críticos de la malla vial rural</w:t>
                    </w:r>
                  </w:p>
                </w:tc>
              </w:sdtContent>
            </w:sdt>
            <w:sdt>
              <w:sdtPr>
                <w:tag w:val="goog_rdk_982"/>
                <w:id w:val="-1481852384"/>
                <w:lock w:val="contentLocked"/>
              </w:sdtPr>
              <w:sdtEndPr/>
              <w:sdtContent>
                <w:tc>
                  <w:tcPr>
                    <w:tcW w:w="102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$ 1,106</w:t>
                    </w:r>
                  </w:p>
                </w:tc>
              </w:sdtContent>
            </w:sdt>
            <w:sdt>
              <w:sdtPr>
                <w:tag w:val="goog_rdk_983"/>
                <w:id w:val="1076464380"/>
                <w:lock w:val="contentLocked"/>
              </w:sdtPr>
              <w:sdtEndPr/>
              <w:sdtContent>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$ 735</w:t>
                    </w:r>
                  </w:p>
                </w:tc>
              </w:sdtContent>
            </w:sdt>
            <w:sdt>
              <w:sdtPr>
                <w:tag w:val="goog_rdk_984"/>
                <w:id w:val="594568339"/>
                <w:lock w:val="contentLocked"/>
              </w:sdtPr>
              <w:sdtEndPr/>
              <w:sdtContent>
                <w:tc>
                  <w:tcPr>
                    <w:tcW w:w="90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$ 367</w:t>
                    </w:r>
                  </w:p>
                </w:tc>
              </w:sdtContent>
            </w:sdt>
            <w:sdt>
              <w:sdtPr>
                <w:tag w:val="goog_rdk_985"/>
                <w:id w:val="476963075"/>
                <w:lock w:val="contentLocked"/>
              </w:sdtPr>
              <w:sdtEndPr/>
              <w:sdtContent>
                <w:tc>
                  <w:tcPr>
                    <w:tcW w:w="12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$ 1,264</w:t>
                    </w:r>
                  </w:p>
                </w:tc>
              </w:sdtContent>
            </w:sdt>
            <w:sdt>
              <w:sdtPr>
                <w:tag w:val="goog_rdk_986"/>
                <w:id w:val="-900368874"/>
                <w:lock w:val="contentLocked"/>
              </w:sdtPr>
              <w:sdtEndPr/>
              <w:sdtContent>
                <w:tc>
                  <w:tcPr>
                    <w:tcW w:w="120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$ 159</w:t>
                    </w:r>
                  </w:p>
                </w:tc>
              </w:sdtContent>
            </w:sdt>
          </w:tr>
          <w:tr w:rsidR="00743DA6">
            <w:trPr>
              <w:trHeight w:val="915"/>
            </w:trPr>
            <w:sdt>
              <w:sdtPr>
                <w:tag w:val="goog_rdk_987"/>
                <w:id w:val="1800745804"/>
                <w:lock w:val="contentLocked"/>
              </w:sdtPr>
              <w:sdtEndPr/>
              <w:sdtContent>
                <w:tc>
                  <w:tcPr>
                    <w:tcW w:w="35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20"/>
                        <w:szCs w:val="20"/>
                      </w:rPr>
                    </w:pPr>
                    <w:r>
                      <w:rPr>
                        <w:rFonts w:ascii="Arial" w:eastAsia="Arial" w:hAnsi="Arial" w:cs="Arial"/>
                        <w:sz w:val="20"/>
                        <w:szCs w:val="20"/>
                      </w:rPr>
                      <w:t>2 - Actualizar 4 Documento(s) que enmarquen la estrategia de TI en el Plan Estratégico de Tecnologías de la Información de la UAERMV para la vigencia 2025-2027.</w:t>
                    </w:r>
                  </w:p>
                </w:tc>
              </w:sdtContent>
            </w:sdt>
            <w:sdt>
              <w:sdtPr>
                <w:tag w:val="goog_rdk_988"/>
                <w:id w:val="1710510630"/>
                <w:lock w:val="contentLocked"/>
              </w:sdtPr>
              <w:sdtEndPr/>
              <w:sdtContent>
                <w:tc>
                  <w:tcPr>
                    <w:tcW w:w="102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$ 640</w:t>
                    </w:r>
                  </w:p>
                </w:tc>
              </w:sdtContent>
            </w:sdt>
            <w:sdt>
              <w:sdtPr>
                <w:tag w:val="goog_rdk_989"/>
                <w:id w:val="2088420630"/>
                <w:lock w:val="contentLocked"/>
              </w:sdtPr>
              <w:sdtEndPr/>
              <w:sdtContent>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$ 130</w:t>
                    </w:r>
                  </w:p>
                </w:tc>
              </w:sdtContent>
            </w:sdt>
            <w:sdt>
              <w:sdtPr>
                <w:tag w:val="goog_rdk_990"/>
                <w:id w:val="-1526526918"/>
                <w:lock w:val="contentLocked"/>
              </w:sdtPr>
              <w:sdtEndPr/>
              <w:sdtContent>
                <w:tc>
                  <w:tcPr>
                    <w:tcW w:w="90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$ 24</w:t>
                    </w:r>
                  </w:p>
                </w:tc>
              </w:sdtContent>
            </w:sdt>
            <w:sdt>
              <w:sdtPr>
                <w:tag w:val="goog_rdk_991"/>
                <w:id w:val="-1714970492"/>
                <w:lock w:val="contentLocked"/>
              </w:sdtPr>
              <w:sdtEndPr/>
              <w:sdtContent>
                <w:tc>
                  <w:tcPr>
                    <w:tcW w:w="12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$ 659</w:t>
                    </w:r>
                  </w:p>
                </w:tc>
              </w:sdtContent>
            </w:sdt>
            <w:sdt>
              <w:sdtPr>
                <w:tag w:val="goog_rdk_992"/>
                <w:id w:val="-924984465"/>
                <w:lock w:val="contentLocked"/>
              </w:sdtPr>
              <w:sdtEndPr/>
              <w:sdtContent>
                <w:tc>
                  <w:tcPr>
                    <w:tcW w:w="120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$ 19</w:t>
                    </w:r>
                  </w:p>
                </w:tc>
              </w:sdtContent>
            </w:sdt>
          </w:tr>
          <w:tr w:rsidR="00743DA6">
            <w:trPr>
              <w:trHeight w:val="990"/>
            </w:trPr>
            <w:sdt>
              <w:sdtPr>
                <w:tag w:val="goog_rdk_993"/>
                <w:id w:val="-732111730"/>
                <w:lock w:val="contentLocked"/>
              </w:sdtPr>
              <w:sdtEndPr/>
              <w:sdtContent>
                <w:tc>
                  <w:tcPr>
                    <w:tcW w:w="352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rPr>
                        <w:rFonts w:ascii="Arial" w:eastAsia="Arial" w:hAnsi="Arial" w:cs="Arial"/>
                        <w:sz w:val="20"/>
                        <w:szCs w:val="20"/>
                      </w:rPr>
                    </w:pPr>
                    <w:r>
                      <w:rPr>
                        <w:rFonts w:ascii="Arial" w:eastAsia="Arial" w:hAnsi="Arial" w:cs="Arial"/>
                        <w:sz w:val="20"/>
                        <w:szCs w:val="20"/>
                      </w:rPr>
                      <w:t>1 - Diseñar e implementar 1 Estrategia(s) de promoción a la participación ciudadana con enfoque de género, diferencial y territorial.</w:t>
                    </w:r>
                  </w:p>
                </w:tc>
              </w:sdtContent>
            </w:sdt>
            <w:sdt>
              <w:sdtPr>
                <w:tag w:val="goog_rdk_994"/>
                <w:id w:val="-808438200"/>
                <w:lock w:val="contentLocked"/>
              </w:sdtPr>
              <w:sdtEndPr/>
              <w:sdtContent>
                <w:tc>
                  <w:tcPr>
                    <w:tcW w:w="102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$ 321</w:t>
                    </w:r>
                  </w:p>
                </w:tc>
              </w:sdtContent>
            </w:sdt>
            <w:sdt>
              <w:sdtPr>
                <w:tag w:val="goog_rdk_995"/>
                <w:id w:val="-1154179555"/>
                <w:lock w:val="contentLocked"/>
              </w:sdtPr>
              <w:sdtEndPr/>
              <w:sdtContent>
                <w:tc>
                  <w:tcPr>
                    <w:tcW w:w="93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$ 275</w:t>
                    </w:r>
                  </w:p>
                </w:tc>
              </w:sdtContent>
            </w:sdt>
            <w:sdt>
              <w:sdtPr>
                <w:tag w:val="goog_rdk_996"/>
                <w:id w:val="-1766453236"/>
                <w:lock w:val="contentLocked"/>
              </w:sdtPr>
              <w:sdtEndPr/>
              <w:sdtContent>
                <w:tc>
                  <w:tcPr>
                    <w:tcW w:w="90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$ 133</w:t>
                    </w:r>
                  </w:p>
                </w:tc>
              </w:sdtContent>
            </w:sdt>
            <w:sdt>
              <w:sdtPr>
                <w:tag w:val="goog_rdk_997"/>
                <w:id w:val="-1373606885"/>
                <w:lock w:val="contentLocked"/>
              </w:sdtPr>
              <w:sdtEndPr/>
              <w:sdtContent>
                <w:tc>
                  <w:tcPr>
                    <w:tcW w:w="1245"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$ 429</w:t>
                    </w:r>
                  </w:p>
                </w:tc>
              </w:sdtContent>
            </w:sdt>
            <w:sdt>
              <w:sdtPr>
                <w:tag w:val="goog_rdk_998"/>
                <w:id w:val="974120950"/>
                <w:lock w:val="contentLocked"/>
              </w:sdtPr>
              <w:sdtEndPr/>
              <w:sdtContent>
                <w:tc>
                  <w:tcPr>
                    <w:tcW w:w="1200" w:type="dxa"/>
                    <w:tcBorders>
                      <w:top w:val="single" w:sz="7" w:space="0" w:color="CCCCCC"/>
                      <w:left w:val="single" w:sz="7" w:space="0" w:color="CCCCCC"/>
                      <w:bottom w:val="single" w:sz="7" w:space="0" w:color="CCCCCC"/>
                      <w:right w:val="single" w:sz="7" w:space="0" w:color="CCCCCC"/>
                    </w:tcBorders>
                    <w:tcMar>
                      <w:top w:w="40" w:type="dxa"/>
                      <w:left w:w="40" w:type="dxa"/>
                      <w:bottom w:w="40" w:type="dxa"/>
                      <w:right w:w="40" w:type="dxa"/>
                    </w:tcMar>
                    <w:vAlign w:val="bottom"/>
                  </w:tcPr>
                  <w:p w:rsidR="00743DA6" w:rsidRDefault="00D95D19">
                    <w:pPr>
                      <w:spacing w:line="276" w:lineRule="auto"/>
                      <w:jc w:val="right"/>
                      <w:rPr>
                        <w:rFonts w:ascii="Arial" w:eastAsia="Arial" w:hAnsi="Arial" w:cs="Arial"/>
                        <w:sz w:val="20"/>
                        <w:szCs w:val="20"/>
                      </w:rPr>
                    </w:pPr>
                    <w:r>
                      <w:rPr>
                        <w:rFonts w:ascii="Arial" w:eastAsia="Arial" w:hAnsi="Arial" w:cs="Arial"/>
                        <w:sz w:val="20"/>
                        <w:szCs w:val="20"/>
                      </w:rPr>
                      <w:t>$ 108</w:t>
                    </w:r>
                  </w:p>
                </w:tc>
              </w:sdtContent>
            </w:sdt>
          </w:tr>
        </w:tbl>
      </w:sdtContent>
    </w:sdt>
    <w:p w:rsidR="00743DA6" w:rsidRDefault="00743DA6">
      <w:pPr>
        <w:spacing w:after="160" w:line="259" w:lineRule="auto"/>
        <w:rPr>
          <w:b/>
          <w:bCs/>
        </w:rPr>
      </w:pPr>
    </w:p>
    <w:p w:rsidR="00743DA6" w:rsidRDefault="00D95D19">
      <w:pPr>
        <w:pStyle w:val="Ttulo4"/>
        <w:keepNext w:val="0"/>
        <w:spacing w:after="40" w:line="259" w:lineRule="auto"/>
        <w:jc w:val="both"/>
        <w:rPr>
          <w:rFonts w:ascii="Arial" w:eastAsia="Arial" w:hAnsi="Arial" w:cs="Arial"/>
          <w:b w:val="0"/>
          <w:bCs w:val="0"/>
          <w:sz w:val="22"/>
          <w:szCs w:val="22"/>
        </w:rPr>
      </w:pPr>
      <w:bookmarkStart w:id="38" w:name="_heading=h.p8nf9t2dc97q" w:colFirst="0" w:colLast="0"/>
      <w:bookmarkEnd w:id="38"/>
      <w:r>
        <w:rPr>
          <w:rFonts w:ascii="Arial" w:eastAsia="Arial" w:hAnsi="Arial" w:cs="Arial"/>
          <w:b w:val="0"/>
          <w:bCs w:val="0"/>
          <w:sz w:val="22"/>
          <w:szCs w:val="22"/>
        </w:rPr>
        <w:t>2. Actividades con Aumento Presupuestal (Apuestas de Alto Riesgo)</w:t>
      </w:r>
    </w:p>
    <w:p w:rsidR="00743DA6" w:rsidRDefault="00D95D19">
      <w:pPr>
        <w:spacing w:before="240" w:after="240" w:line="259" w:lineRule="auto"/>
        <w:jc w:val="both"/>
        <w:rPr>
          <w:sz w:val="22"/>
          <w:szCs w:val="22"/>
        </w:rPr>
      </w:pPr>
      <w:r>
        <w:rPr>
          <w:sz w:val="22"/>
          <w:szCs w:val="22"/>
        </w:rPr>
        <w:t>A pesar de la crisis generalizada, se asignan aumentos a la ruralidad y la maquinaria, pero estos incrementos carecen de sustento técnico en la ejecución previa, lo que los convierte en apuestas de alto riesgo.</w:t>
      </w:r>
    </w:p>
    <w:p w:rsidR="00743DA6" w:rsidRDefault="00D95D19">
      <w:pPr>
        <w:spacing w:before="240" w:after="240" w:line="259" w:lineRule="auto"/>
        <w:jc w:val="both"/>
        <w:rPr>
          <w:sz w:val="22"/>
          <w:szCs w:val="22"/>
        </w:rPr>
      </w:pPr>
      <w:r>
        <w:rPr>
          <w:sz w:val="22"/>
          <w:szCs w:val="22"/>
        </w:rPr>
        <w:t xml:space="preserve">Malla Vial Rural: El principal aumento se destina a </w:t>
      </w:r>
      <w:r>
        <w:rPr>
          <w:i/>
          <w:iCs/>
          <w:sz w:val="22"/>
          <w:szCs w:val="22"/>
        </w:rPr>
        <w:t>"Intervenir 20 km de malla vial rural"</w:t>
      </w:r>
      <w:r>
        <w:rPr>
          <w:sz w:val="22"/>
          <w:szCs w:val="22"/>
        </w:rPr>
        <w:t>, con una adición de +$3.722 millones. Sin embargo, esta actividad tuvo una ejecución baja del 24.9% en 2025. Inyectar más recursos a un área que no ha demostrado capacidad de absorción sugiere una presión política por mostrar resultados en la ruralidad, más que una eficiencia técnica.</w:t>
      </w:r>
    </w:p>
    <w:p w:rsidR="00743DA6" w:rsidRDefault="00D95D19">
      <w:pPr>
        <w:spacing w:before="240" w:after="240" w:line="259" w:lineRule="auto"/>
        <w:jc w:val="both"/>
        <w:rPr>
          <w:sz w:val="22"/>
          <w:szCs w:val="22"/>
        </w:rPr>
      </w:pPr>
      <w:r>
        <w:rPr>
          <w:sz w:val="22"/>
          <w:szCs w:val="22"/>
        </w:rPr>
        <w:t xml:space="preserve">Maquinaria: Se asignan +$905 millones adicionales para </w:t>
      </w:r>
      <w:r>
        <w:rPr>
          <w:i/>
          <w:iCs/>
          <w:sz w:val="22"/>
          <w:szCs w:val="22"/>
        </w:rPr>
        <w:t>"Adquirir 85 unidades de maquinaria"</w:t>
      </w:r>
      <w:r>
        <w:rPr>
          <w:sz w:val="22"/>
          <w:szCs w:val="22"/>
        </w:rPr>
        <w:t>. Lo preocupante es que esta actividad tuvo una ejecución del 0% en 2025. Darle más dinero a un rubro que no se tocó el año anterior es una señal de alerta sobre posible improvisación en la planeación de compras.</w:t>
      </w:r>
    </w:p>
    <w:p w:rsidR="00743DA6" w:rsidRDefault="00D95D19">
      <w:pPr>
        <w:spacing w:before="240" w:after="240" w:line="259" w:lineRule="auto"/>
        <w:jc w:val="both"/>
        <w:rPr>
          <w:sz w:val="22"/>
          <w:szCs w:val="22"/>
        </w:rPr>
      </w:pPr>
      <w:r>
        <w:rPr>
          <w:sz w:val="22"/>
          <w:szCs w:val="22"/>
        </w:rPr>
        <w:t>Puntos Críticos Rurales: Se refuerza la intervención de puntos críticos rurales con +$159 millones, a pesar de una ejecución del 33.2%.</w:t>
      </w:r>
    </w:p>
    <w:p w:rsidR="00743DA6" w:rsidRDefault="00D95D19">
      <w:pPr>
        <w:spacing w:before="240" w:after="240" w:line="259" w:lineRule="auto"/>
        <w:jc w:val="both"/>
        <w:rPr>
          <w:sz w:val="22"/>
          <w:szCs w:val="22"/>
        </w:rPr>
      </w:pPr>
      <w:r>
        <w:rPr>
          <w:sz w:val="22"/>
          <w:szCs w:val="22"/>
        </w:rPr>
        <w:t>En conclusión, la UAERMV sufre una desfinanciación estructural de su misión urbana (barrios y andenes) como castigo a su inoperancia, mientras intenta pivotar recursos hacia la ruralidad y la maquinaria sin haber resuelto los problemas de gestión que causaron la parálisis inicial.</w:t>
      </w:r>
    </w:p>
    <w:p w:rsidR="00743DA6" w:rsidRDefault="00D95D19">
      <w:pPr>
        <w:rPr>
          <w:b/>
          <w:bCs/>
        </w:rPr>
      </w:pPr>
      <w:r>
        <w:rPr>
          <w:b/>
          <w:bCs/>
        </w:rPr>
        <w:t>Secretaría Distrital de Planeación</w:t>
      </w:r>
    </w:p>
    <w:p w:rsidR="00743DA6" w:rsidRDefault="00743DA6">
      <w:pPr>
        <w:rPr>
          <w:b/>
          <w:bCs/>
        </w:rPr>
      </w:pPr>
    </w:p>
    <w:p w:rsidR="00743DA6" w:rsidRDefault="00D95D19">
      <w:pPr>
        <w:jc w:val="both"/>
        <w:rPr>
          <w:sz w:val="22"/>
          <w:szCs w:val="22"/>
        </w:rPr>
      </w:pPr>
      <w:r>
        <w:rPr>
          <w:sz w:val="22"/>
          <w:szCs w:val="22"/>
        </w:rPr>
        <w:t>A partir del comportamiento presupuestal entre 2022 y 2025, la Secretaría Distrital de Planeación evidencia un ciclo marcado por oscilaciones significativas entre el presupuesto inicial y los compromisos, lo que permite identificar tensiones entre la asignación de recursos y la capacidad operativa de la entidad. La gráfica muestra un descenso pronunciado en 2023, seguido de una recuperación progresiva hacia 2024 y 2025, mientras que la proyección para 2026 mantiene una tendencia estable pero sin alcanzar plenamente los niveles de 2022. Esta trayectoria revela un patrón institucional en el que las dinámicas de ajuste fiscal, la reorganización de prioridades urbanas y la demanda creciente de funciones estratégicas —como la gestión del POT, la información territorial y la coordinación intersectorial— obligan a la SDP a fortalecer su estructura técnica y administrativa. En conjunto, estos movimientos presupuestales permiten leer una entidad que transita entre la expansión y la contención, buscando consolidar su capacidad de planificación en un contexto de crecientes presiones sobre el ordenamiento y la gestión territorial de Bogotá</w:t>
      </w:r>
    </w:p>
    <w:p w:rsidR="00743DA6" w:rsidRDefault="00743DA6">
      <w:pPr>
        <w:rPr>
          <w:b/>
          <w:bCs/>
        </w:rPr>
      </w:pPr>
    </w:p>
    <w:p w:rsidR="00743DA6" w:rsidRDefault="00D95D19">
      <w:pPr>
        <w:jc w:val="center"/>
        <w:rPr>
          <w:sz w:val="22"/>
          <w:szCs w:val="22"/>
        </w:rPr>
      </w:pPr>
      <w:r>
        <w:rPr>
          <w:sz w:val="22"/>
          <w:szCs w:val="22"/>
        </w:rPr>
        <w:t xml:space="preserve">Gráfica x Histórico Presupuestal 2022- 2025 Secretaría de Planeación </w:t>
      </w:r>
    </w:p>
    <w:p w:rsidR="00743DA6" w:rsidRDefault="00D95D19">
      <w:r>
        <w:rPr>
          <w:noProof/>
          <w:lang w:val="es-CO"/>
        </w:rPr>
        <w:drawing>
          <wp:inline distT="114300" distB="114300" distL="114300" distR="114300">
            <wp:extent cx="5612130" cy="2197100"/>
            <wp:effectExtent l="0" t="0" r="0" b="0"/>
            <wp:docPr id="2127399605"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53"/>
                    <a:srcRect/>
                    <a:stretch>
                      <a:fillRect/>
                    </a:stretch>
                  </pic:blipFill>
                  <pic:spPr>
                    <a:xfrm>
                      <a:off x="0" y="0"/>
                      <a:ext cx="5612130" cy="21971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D95D19">
      <w:pPr>
        <w:spacing w:before="240" w:line="276" w:lineRule="auto"/>
        <w:jc w:val="both"/>
        <w:rPr>
          <w:sz w:val="22"/>
          <w:szCs w:val="22"/>
        </w:rPr>
      </w:pPr>
      <w:r>
        <w:rPr>
          <w:sz w:val="22"/>
          <w:szCs w:val="22"/>
        </w:rPr>
        <w:t>El análisis del presupuesto de inversión de la Secretaría Distrital de Planeación (SDP) para 2026, contrastado con la vigencia ejecutada a septiembre de 2025, evidencia ajustes marcados en la distribución interna de recursos. Al revisar los proyectos uno a uno, se identifican cambios que no responden a una tendencia uniforme, sino a una redistribución selectiva orientada por prioridades institucionales.</w:t>
      </w:r>
    </w:p>
    <w:p w:rsidR="00743DA6" w:rsidRDefault="00D95D19">
      <w:pPr>
        <w:spacing w:before="240" w:line="276" w:lineRule="auto"/>
        <w:jc w:val="both"/>
        <w:rPr>
          <w:sz w:val="22"/>
          <w:szCs w:val="22"/>
        </w:rPr>
      </w:pPr>
      <w:r>
        <w:rPr>
          <w:sz w:val="22"/>
          <w:szCs w:val="22"/>
        </w:rPr>
        <w:t>En este panorama, las mayores expansiones presupuestales recaen sobre dos frentes: el fortalecimiento del modelo operativo de la entidad, que registra un incremento del 34,74%, y la actualización de la infraestructura tecnológica, con un aumento del 15,83%. Esta orientación sugiere que la SDP busca consolidar su capacidad técnica y administrativa, reforzando procesos internos y herramientas digitales que soportan la planeación territorial, el seguimiento normativo y la articulación intersectorial.</w:t>
      </w:r>
    </w:p>
    <w:p w:rsidR="00743DA6" w:rsidRDefault="00D95D19">
      <w:pPr>
        <w:spacing w:before="240" w:line="276" w:lineRule="auto"/>
        <w:jc w:val="center"/>
        <w:rPr>
          <w:b/>
          <w:bCs/>
          <w:sz w:val="22"/>
          <w:szCs w:val="22"/>
        </w:rPr>
      </w:pPr>
      <w:r>
        <w:rPr>
          <w:b/>
          <w:bCs/>
          <w:sz w:val="22"/>
          <w:szCs w:val="22"/>
        </w:rPr>
        <w:t>Tabla No. 65</w:t>
      </w:r>
      <w:r>
        <w:rPr>
          <w:sz w:val="22"/>
          <w:szCs w:val="22"/>
        </w:rPr>
        <w:t xml:space="preserve"> Programación Presupuestal Comparada de  Secretaría de Planeación Vigencia 2025 y Proyecto de Presupuesto 2026  </w:t>
      </w:r>
      <w:r>
        <w:rPr>
          <w:b/>
          <w:bCs/>
          <w:noProof/>
          <w:sz w:val="22"/>
          <w:szCs w:val="22"/>
          <w:lang w:val="es-CO"/>
        </w:rPr>
        <w:drawing>
          <wp:inline distT="114300" distB="114300" distL="114300" distR="114300">
            <wp:extent cx="5612130" cy="3721100"/>
            <wp:effectExtent l="0" t="0" r="0" b="0"/>
            <wp:docPr id="212739959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54"/>
                    <a:srcRect/>
                    <a:stretch>
                      <a:fillRect/>
                    </a:stretch>
                  </pic:blipFill>
                  <pic:spPr>
                    <a:xfrm>
                      <a:off x="0" y="0"/>
                      <a:ext cx="5612130" cy="37211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jc w:val="both"/>
        <w:rPr>
          <w:b/>
          <w:bCs/>
          <w:sz w:val="22"/>
          <w:szCs w:val="22"/>
        </w:rPr>
      </w:pPr>
      <w:r>
        <w:rPr>
          <w:b/>
          <w:bCs/>
          <w:sz w:val="22"/>
          <w:szCs w:val="22"/>
        </w:rPr>
        <w:t>Secretaría de Gobierno</w:t>
      </w:r>
    </w:p>
    <w:p w:rsidR="00743DA6" w:rsidRDefault="00D95D19">
      <w:pPr>
        <w:jc w:val="center"/>
        <w:rPr>
          <w:sz w:val="22"/>
          <w:szCs w:val="22"/>
        </w:rPr>
      </w:pPr>
      <w:r>
        <w:rPr>
          <w:sz w:val="22"/>
          <w:szCs w:val="22"/>
        </w:rPr>
        <w:t>Gráfica x Histórico Presupuestal 2022- 2025 Secretaría de Gobierno</w:t>
      </w:r>
    </w:p>
    <w:p w:rsidR="00743DA6" w:rsidRDefault="00D95D19">
      <w:pPr>
        <w:jc w:val="center"/>
        <w:rPr>
          <w:sz w:val="22"/>
          <w:szCs w:val="22"/>
        </w:rPr>
      </w:pPr>
      <w:r>
        <w:rPr>
          <w:noProof/>
          <w:sz w:val="22"/>
          <w:szCs w:val="22"/>
          <w:lang w:val="es-CO"/>
        </w:rPr>
        <w:drawing>
          <wp:inline distT="114300" distB="114300" distL="114300" distR="114300">
            <wp:extent cx="5612130" cy="2197100"/>
            <wp:effectExtent l="0" t="0" r="0" b="0"/>
            <wp:docPr id="212739960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5"/>
                    <a:srcRect/>
                    <a:stretch>
                      <a:fillRect/>
                    </a:stretch>
                  </pic:blipFill>
                  <pic:spPr>
                    <a:xfrm>
                      <a:off x="0" y="0"/>
                      <a:ext cx="5612130" cy="21971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jc w:val="both"/>
        <w:rPr>
          <w:sz w:val="22"/>
          <w:szCs w:val="22"/>
        </w:rPr>
      </w:pPr>
      <w:r>
        <w:rPr>
          <w:sz w:val="22"/>
          <w:szCs w:val="22"/>
        </w:rPr>
        <w:t xml:space="preserve">El presupuesto de inversión de la Secretaría Distrital de Gobierno (SDG) para la vigencia 2026, bajo el Plan "Bogotá Camina Segura" presenta un presupuesto total de Inversión de $77.357.237.000, lo que representa una disminución general del -4,34% respecto al presupuesto vigente de 2025 ($80.867.391.000). </w:t>
      </w:r>
    </w:p>
    <w:p w:rsidR="00743DA6" w:rsidRDefault="00D95D19">
      <w:pPr>
        <w:spacing w:before="240" w:after="240"/>
        <w:jc w:val="center"/>
        <w:rPr>
          <w:sz w:val="22"/>
          <w:szCs w:val="22"/>
        </w:rPr>
      </w:pPr>
      <w:r>
        <w:rPr>
          <w:b/>
          <w:bCs/>
          <w:sz w:val="22"/>
          <w:szCs w:val="22"/>
        </w:rPr>
        <w:t>Tabla No. 66.</w:t>
      </w:r>
      <w:r>
        <w:rPr>
          <w:sz w:val="22"/>
          <w:szCs w:val="22"/>
        </w:rPr>
        <w:t xml:space="preserve"> Programación Presupuestal Comparada de Secretaría de Gobierno Vigencia 2025 y Proyecto de Presupuesto 2026</w:t>
      </w:r>
      <w:r>
        <w:rPr>
          <w:noProof/>
          <w:sz w:val="22"/>
          <w:szCs w:val="22"/>
          <w:lang w:val="es-CO"/>
        </w:rPr>
        <w:drawing>
          <wp:inline distT="114300" distB="114300" distL="114300" distR="114300">
            <wp:extent cx="5612130" cy="4330700"/>
            <wp:effectExtent l="0" t="0" r="0" b="0"/>
            <wp:docPr id="2127399623"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56"/>
                    <a:srcRect/>
                    <a:stretch>
                      <a:fillRect/>
                    </a:stretch>
                  </pic:blipFill>
                  <pic:spPr>
                    <a:xfrm>
                      <a:off x="0" y="0"/>
                      <a:ext cx="5612130" cy="43307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D95D19">
      <w:pPr>
        <w:spacing w:before="240" w:line="276" w:lineRule="auto"/>
        <w:jc w:val="both"/>
        <w:rPr>
          <w:sz w:val="20"/>
          <w:szCs w:val="20"/>
        </w:rPr>
      </w:pPr>
      <w:r>
        <w:rPr>
          <w:sz w:val="20"/>
          <w:szCs w:val="20"/>
        </w:rPr>
        <w:t>Fortalecimiento del tejido social y la reconstrucción de la confianza con la ciudadanía para promover la cultura de la convivencia basada en el diálogo</w:t>
      </w:r>
    </w:p>
    <w:p w:rsidR="00743DA6" w:rsidRDefault="00D95D19">
      <w:pPr>
        <w:spacing w:before="240" w:line="276" w:lineRule="auto"/>
        <w:jc w:val="both"/>
        <w:rPr>
          <w:sz w:val="20"/>
          <w:szCs w:val="20"/>
        </w:rPr>
      </w:pPr>
      <w:r>
        <w:rPr>
          <w:sz w:val="20"/>
          <w:szCs w:val="20"/>
        </w:rPr>
        <w:t>Fortalecer 1 Programa(s) de atención integral en el marco del diálogo social y la convivencia, articulando acciones con las organizaciones de DDHH para la atención de situaciones de convivencia y conflictividad social en Bogotá</w:t>
      </w:r>
    </w:p>
    <w:p w:rsidR="00743DA6" w:rsidRDefault="00D95D19">
      <w:pPr>
        <w:spacing w:before="240" w:line="276" w:lineRule="auto"/>
        <w:jc w:val="both"/>
        <w:rPr>
          <w:b/>
          <w:bCs/>
          <w:sz w:val="20"/>
          <w:szCs w:val="20"/>
        </w:rPr>
      </w:pPr>
      <w:r>
        <w:rPr>
          <w:sz w:val="20"/>
          <w:szCs w:val="20"/>
        </w:rPr>
        <w:t>4 - Atender 100 Porciento de las movilizaciones sociales informadas y eventos que puedan tensionar la convivencia en el distrito.</w:t>
      </w:r>
    </w:p>
    <w:tbl>
      <w:tblPr>
        <w:tblStyle w:val="affffffffb"/>
        <w:tblW w:w="8838" w:type="dxa"/>
        <w:tblBorders>
          <w:top w:val="nil"/>
          <w:left w:val="nil"/>
          <w:bottom w:val="nil"/>
          <w:right w:val="nil"/>
          <w:insideH w:val="nil"/>
          <w:insideV w:val="nil"/>
        </w:tblBorders>
        <w:tblLayout w:type="fixed"/>
        <w:tblLook w:val="0600" w:firstRow="0" w:lastRow="0" w:firstColumn="0" w:lastColumn="0" w:noHBand="1" w:noVBand="1"/>
      </w:tblPr>
      <w:tblGrid>
        <w:gridCol w:w="1767"/>
        <w:gridCol w:w="1767"/>
        <w:gridCol w:w="1768"/>
        <w:gridCol w:w="1768"/>
        <w:gridCol w:w="1768"/>
      </w:tblGrid>
      <w:tr w:rsidR="00743DA6">
        <w:trPr>
          <w:trHeight w:val="510"/>
        </w:trPr>
        <w:tc>
          <w:tcPr>
            <w:tcW w:w="1767" w:type="dxa"/>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vAlign w:val="bottom"/>
          </w:tcPr>
          <w:p w:rsidR="00743DA6" w:rsidRDefault="00D95D19">
            <w:pPr>
              <w:spacing w:before="240" w:line="276" w:lineRule="auto"/>
              <w:jc w:val="both"/>
              <w:rPr>
                <w:sz w:val="20"/>
                <w:szCs w:val="20"/>
              </w:rPr>
            </w:pPr>
            <w:r>
              <w:rPr>
                <w:sz w:val="20"/>
                <w:szCs w:val="20"/>
              </w:rPr>
              <w:t>$  6.819,02</w:t>
            </w:r>
          </w:p>
        </w:tc>
        <w:tc>
          <w:tcPr>
            <w:tcW w:w="1767" w:type="dxa"/>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vAlign w:val="bottom"/>
          </w:tcPr>
          <w:p w:rsidR="00743DA6" w:rsidRDefault="00D95D19">
            <w:pPr>
              <w:spacing w:before="240" w:line="276" w:lineRule="auto"/>
              <w:jc w:val="both"/>
              <w:rPr>
                <w:sz w:val="20"/>
                <w:szCs w:val="20"/>
              </w:rPr>
            </w:pPr>
            <w:r>
              <w:rPr>
                <w:sz w:val="20"/>
                <w:szCs w:val="20"/>
              </w:rPr>
              <w:t xml:space="preserve"> $ 5.912,96</w:t>
            </w:r>
          </w:p>
        </w:tc>
        <w:tc>
          <w:tcPr>
            <w:tcW w:w="1767" w:type="dxa"/>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vAlign w:val="bottom"/>
          </w:tcPr>
          <w:p w:rsidR="00743DA6" w:rsidRDefault="00D95D19">
            <w:pPr>
              <w:spacing w:before="240" w:line="276" w:lineRule="auto"/>
              <w:jc w:val="both"/>
              <w:rPr>
                <w:sz w:val="20"/>
                <w:szCs w:val="20"/>
              </w:rPr>
            </w:pPr>
            <w:r>
              <w:rPr>
                <w:sz w:val="20"/>
                <w:szCs w:val="20"/>
              </w:rPr>
              <w:t xml:space="preserve"> $  3.263,69</w:t>
            </w:r>
          </w:p>
        </w:tc>
        <w:tc>
          <w:tcPr>
            <w:tcW w:w="1767" w:type="dxa"/>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vAlign w:val="bottom"/>
          </w:tcPr>
          <w:p w:rsidR="00743DA6" w:rsidRDefault="00D95D19">
            <w:pPr>
              <w:spacing w:before="240" w:line="276" w:lineRule="auto"/>
              <w:jc w:val="both"/>
              <w:rPr>
                <w:sz w:val="20"/>
                <w:szCs w:val="20"/>
              </w:rPr>
            </w:pPr>
            <w:r>
              <w:rPr>
                <w:sz w:val="20"/>
                <w:szCs w:val="20"/>
              </w:rPr>
              <w:t xml:space="preserve"> $ 5.323,46</w:t>
            </w:r>
          </w:p>
        </w:tc>
        <w:tc>
          <w:tcPr>
            <w:tcW w:w="1767" w:type="dxa"/>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vAlign w:val="bottom"/>
          </w:tcPr>
          <w:p w:rsidR="00743DA6" w:rsidRDefault="00D95D19">
            <w:pPr>
              <w:spacing w:before="240" w:line="276" w:lineRule="auto"/>
              <w:jc w:val="both"/>
              <w:rPr>
                <w:sz w:val="20"/>
                <w:szCs w:val="20"/>
              </w:rPr>
            </w:pPr>
            <w:r>
              <w:rPr>
                <w:sz w:val="20"/>
                <w:szCs w:val="20"/>
              </w:rPr>
              <w:t>-$ 1.495,56</w:t>
            </w:r>
          </w:p>
        </w:tc>
      </w:tr>
    </w:tbl>
    <w:p w:rsidR="00743DA6" w:rsidRDefault="00D95D19">
      <w:pPr>
        <w:spacing w:before="240" w:line="276" w:lineRule="auto"/>
        <w:jc w:val="both"/>
        <w:rPr>
          <w:b/>
          <w:bCs/>
          <w:sz w:val="20"/>
          <w:szCs w:val="20"/>
        </w:rPr>
      </w:pPr>
      <w:r>
        <w:rPr>
          <w:b/>
          <w:bCs/>
          <w:sz w:val="20"/>
          <w:szCs w:val="20"/>
        </w:rPr>
        <w:t xml:space="preserve"> </w:t>
      </w:r>
    </w:p>
    <w:p w:rsidR="00743DA6" w:rsidRDefault="00D95D19">
      <w:pPr>
        <w:spacing w:before="240" w:line="276" w:lineRule="auto"/>
        <w:jc w:val="both"/>
        <w:rPr>
          <w:b/>
          <w:bCs/>
          <w:sz w:val="22"/>
          <w:szCs w:val="22"/>
        </w:rPr>
      </w:pPr>
      <w:r>
        <w:rPr>
          <w:sz w:val="22"/>
          <w:szCs w:val="22"/>
        </w:rPr>
        <w:t>Según los reportes de la Secretaría Distrital de Gobierno, las movilizaciones y protestas sociales en Bogotá aumentaron en 2025 en comparación con el año anterior, tanto en términos de número de eventos como de participación ciudadana.</w:t>
      </w:r>
    </w:p>
    <w:p w:rsidR="00743DA6" w:rsidRDefault="00D95D19">
      <w:pPr>
        <w:spacing w:before="240" w:line="276" w:lineRule="auto"/>
        <w:jc w:val="center"/>
        <w:rPr>
          <w:sz w:val="22"/>
          <w:szCs w:val="22"/>
        </w:rPr>
      </w:pPr>
      <w:r>
        <w:rPr>
          <w:b/>
          <w:bCs/>
          <w:sz w:val="22"/>
          <w:szCs w:val="22"/>
        </w:rPr>
        <w:t>Tabla No. 66</w:t>
      </w:r>
      <w:r>
        <w:rPr>
          <w:sz w:val="22"/>
          <w:szCs w:val="22"/>
        </w:rPr>
        <w:t xml:space="preserve"> Cifras de Movilizaciones Sociales en Bogotá (Primer Semestre) 2025</w:t>
      </w:r>
    </w:p>
    <w:tbl>
      <w:tblPr>
        <w:tblStyle w:val="affffffffc"/>
        <w:tblW w:w="8805" w:type="dxa"/>
        <w:tblBorders>
          <w:top w:val="nil"/>
          <w:left w:val="nil"/>
          <w:bottom w:val="nil"/>
          <w:right w:val="nil"/>
          <w:insideH w:val="nil"/>
          <w:insideV w:val="nil"/>
        </w:tblBorders>
        <w:tblLayout w:type="fixed"/>
        <w:tblLook w:val="0600" w:firstRow="0" w:lastRow="0" w:firstColumn="0" w:lastColumn="0" w:noHBand="1" w:noVBand="1"/>
      </w:tblPr>
      <w:tblGrid>
        <w:gridCol w:w="2040"/>
        <w:gridCol w:w="2715"/>
        <w:gridCol w:w="2085"/>
        <w:gridCol w:w="1965"/>
      </w:tblGrid>
      <w:tr w:rsidR="00743DA6">
        <w:trPr>
          <w:trHeight w:val="1125"/>
        </w:trPr>
        <w:tc>
          <w:tcPr>
            <w:tcW w:w="2040"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Periodo</w:t>
            </w:r>
          </w:p>
        </w:tc>
        <w:tc>
          <w:tcPr>
            <w:tcW w:w="271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Eventos de Movilización Social (EMS)</w:t>
            </w:r>
          </w:p>
        </w:tc>
        <w:tc>
          <w:tcPr>
            <w:tcW w:w="208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Comparación Anual</w:t>
            </w:r>
          </w:p>
        </w:tc>
        <w:tc>
          <w:tcPr>
            <w:tcW w:w="196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Variación Porcentual</w:t>
            </w:r>
          </w:p>
        </w:tc>
      </w:tr>
      <w:tr w:rsidR="00743DA6">
        <w:trPr>
          <w:trHeight w:val="829"/>
        </w:trPr>
        <w:tc>
          <w:tcPr>
            <w:tcW w:w="2040"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Primer Semestre 2025</w:t>
            </w:r>
          </w:p>
        </w:tc>
        <w:tc>
          <w:tcPr>
            <w:tcW w:w="271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937</w:t>
            </w:r>
          </w:p>
        </w:tc>
        <w:tc>
          <w:tcPr>
            <w:tcW w:w="208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vs 2024</w:t>
            </w:r>
          </w:p>
        </w:tc>
        <w:tc>
          <w:tcPr>
            <w:tcW w:w="196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+19,2%</w:t>
            </w:r>
          </w:p>
        </w:tc>
      </w:tr>
      <w:tr w:rsidR="00743DA6">
        <w:trPr>
          <w:trHeight w:val="840"/>
        </w:trPr>
        <w:tc>
          <w:tcPr>
            <w:tcW w:w="2040"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Primer Semestre 2024</w:t>
            </w:r>
          </w:p>
        </w:tc>
        <w:tc>
          <w:tcPr>
            <w:tcW w:w="271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786</w:t>
            </w:r>
          </w:p>
        </w:tc>
        <w:tc>
          <w:tcPr>
            <w:tcW w:w="208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vs 2023</w:t>
            </w:r>
          </w:p>
        </w:tc>
        <w:tc>
          <w:tcPr>
            <w:tcW w:w="196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+19,2%</w:t>
            </w:r>
          </w:p>
        </w:tc>
      </w:tr>
      <w:tr w:rsidR="00743DA6">
        <w:trPr>
          <w:trHeight w:val="840"/>
        </w:trPr>
        <w:tc>
          <w:tcPr>
            <w:tcW w:w="2040"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Primer Semestre 2023</w:t>
            </w:r>
          </w:p>
        </w:tc>
        <w:tc>
          <w:tcPr>
            <w:tcW w:w="271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659</w:t>
            </w:r>
          </w:p>
        </w:tc>
        <w:tc>
          <w:tcPr>
            <w:tcW w:w="208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w:t>
            </w:r>
          </w:p>
        </w:tc>
        <w:tc>
          <w:tcPr>
            <w:tcW w:w="1965" w:type="dxa"/>
            <w:tcBorders>
              <w:top w:val="single" w:sz="7" w:space="0" w:color="000000"/>
              <w:left w:val="single" w:sz="7" w:space="0" w:color="000000"/>
              <w:bottom w:val="single" w:sz="7" w:space="0" w:color="000000"/>
              <w:right w:val="single" w:sz="7" w:space="0" w:color="000000"/>
            </w:tcBorders>
            <w:tcMar>
              <w:top w:w="120" w:type="dxa"/>
              <w:left w:w="180" w:type="dxa"/>
              <w:bottom w:w="120" w:type="dxa"/>
              <w:right w:w="180" w:type="dxa"/>
            </w:tcMar>
          </w:tcPr>
          <w:p w:rsidR="00743DA6" w:rsidRDefault="00D95D19">
            <w:pPr>
              <w:spacing w:before="240" w:line="276" w:lineRule="auto"/>
              <w:jc w:val="both"/>
              <w:rPr>
                <w:rFonts w:ascii="Times New Roman" w:eastAsia="Times New Roman" w:hAnsi="Times New Roman" w:cs="Times New Roman"/>
                <w:color w:val="1F1F1F"/>
              </w:rPr>
            </w:pPr>
            <w:r>
              <w:rPr>
                <w:rFonts w:ascii="Times New Roman" w:eastAsia="Times New Roman" w:hAnsi="Times New Roman" w:cs="Times New Roman"/>
                <w:color w:val="1F1F1F"/>
              </w:rPr>
              <w:t>-</w:t>
            </w:r>
          </w:p>
        </w:tc>
      </w:tr>
    </w:tbl>
    <w:p w:rsidR="00743DA6" w:rsidRDefault="00D95D19">
      <w:pPr>
        <w:spacing w:before="240" w:line="276" w:lineRule="auto"/>
        <w:rPr>
          <w:b/>
          <w:bCs/>
          <w:sz w:val="20"/>
          <w:szCs w:val="20"/>
        </w:rPr>
      </w:pPr>
      <w:r>
        <w:rPr>
          <w:sz w:val="18"/>
          <w:szCs w:val="18"/>
        </w:rPr>
        <w:t>Fuente: Observatorio de Conflictividad Social (OCS) SDG 2025</w:t>
      </w:r>
      <w:r>
        <w:rPr>
          <w:b/>
          <w:bCs/>
          <w:sz w:val="20"/>
          <w:szCs w:val="20"/>
        </w:rPr>
        <w:t xml:space="preserve"> </w:t>
      </w:r>
    </w:p>
    <w:p w:rsidR="00743DA6" w:rsidRDefault="00D95D19">
      <w:pPr>
        <w:spacing w:before="240" w:line="276" w:lineRule="auto"/>
        <w:jc w:val="both"/>
        <w:rPr>
          <w:sz w:val="22"/>
          <w:szCs w:val="22"/>
        </w:rPr>
      </w:pPr>
      <w:r>
        <w:rPr>
          <w:sz w:val="22"/>
          <w:szCs w:val="22"/>
        </w:rPr>
        <w:t>La actividad de protesta en el primer semestre de 2025 experimentó un crecimiento del 19,2% respecto a 2024 y del 42,1% en comparación con 2023.</w:t>
      </w:r>
    </w:p>
    <w:p w:rsidR="00743DA6" w:rsidRDefault="00D95D19">
      <w:pPr>
        <w:spacing w:before="240" w:after="240"/>
        <w:jc w:val="both"/>
        <w:rPr>
          <w:b/>
          <w:bCs/>
          <w:sz w:val="22"/>
          <w:szCs w:val="22"/>
        </w:rPr>
      </w:pPr>
      <w:r>
        <w:rPr>
          <w:b/>
          <w:bCs/>
          <w:sz w:val="22"/>
          <w:szCs w:val="22"/>
        </w:rPr>
        <w:t>Secretaría Distrital de Salud (SDS)</w:t>
      </w:r>
    </w:p>
    <w:p w:rsidR="00743DA6" w:rsidRDefault="00D95D19">
      <w:pPr>
        <w:spacing w:after="240"/>
        <w:jc w:val="both"/>
        <w:rPr>
          <w:sz w:val="22"/>
          <w:szCs w:val="22"/>
        </w:rPr>
      </w:pPr>
      <w:r>
        <w:rPr>
          <w:sz w:val="22"/>
          <w:szCs w:val="22"/>
        </w:rPr>
        <w:t>El presupuesto total distrital 2026 asciende a $40,4 billones, de los cuales el sector salud recibe $5,3 billones, equivalente al 13 % del total. Este monto consolida tanto los recursos de la Secretaría Distrital de Salud (SDS) como del Fondo Financiero Distrital de Salud (FFDS).</w:t>
      </w:r>
    </w:p>
    <w:p w:rsidR="00743DA6" w:rsidRDefault="00D95D19">
      <w:pPr>
        <w:spacing w:before="240" w:after="240"/>
        <w:jc w:val="both"/>
        <w:rPr>
          <w:sz w:val="22"/>
          <w:szCs w:val="22"/>
        </w:rPr>
      </w:pPr>
      <w:r>
        <w:rPr>
          <w:sz w:val="22"/>
          <w:szCs w:val="22"/>
        </w:rPr>
        <w:t>Entre 2022 y 2026, la Secretaría Distrital de Salud muestra un crecimiento presupuestal que, aunque constante, revela la limitada prioridad que la Administración le otorga a la capacidad institucional del sector. En 2022 la SDS contaba con un presupuesto inicial de $75.904 millones, cifra que aumenta a $108.620 millones en 2026; es decir, un incremento acumulado de apenas $32.716 millones, equivalente al 43,1% en cuatro años. Aunque este porcentaje parece significativo, al observar la magnitud del sistema resulta evidente que se trata de un crecimiento marginal frente al tamaño real de las necesidades de rectoría, vigilancia epidemiológica, inspección y control, fortalecimiento del talento humano y modernización administrativa que demanda el sistema distrital de salud. El incremento anual de la SDS entre 2024 y 2026 —de solo $4.149 millones en 2025 y $3.182 millones en 2026— evidencia que la entidad encargada de orientar técnicamente al sector no recibe recursos proporcionales a sus responsabilidades.</w:t>
      </w:r>
    </w:p>
    <w:p w:rsidR="00743DA6" w:rsidRDefault="00D95D19">
      <w:pPr>
        <w:spacing w:before="240" w:after="240"/>
        <w:jc w:val="both"/>
      </w:pPr>
      <w:r>
        <w:rPr>
          <w:sz w:val="22"/>
          <w:szCs w:val="22"/>
        </w:rPr>
        <w:t>Mientras la SDS crece solo 3 % entre 2025 y 2026, el FFDS crece 12 %, las Subredes administran más de $2,8 billones y el sector salud completo supera los $10,8 billones. Esto significa que, aunque hay un aumento en pesos, la Secretaría pierde capacidad real de rectoría, supervisión, epidemiología y control, pues su fortalecimiento institucional no acompaña la expansión del sistema distrital de salud.</w:t>
      </w:r>
    </w:p>
    <w:p w:rsidR="00743DA6" w:rsidRDefault="00D95D19">
      <w:pPr>
        <w:spacing w:before="240" w:after="240" w:line="259" w:lineRule="auto"/>
        <w:jc w:val="center"/>
      </w:pPr>
      <w:r>
        <w:rPr>
          <w:rFonts w:ascii="Aptos" w:eastAsia="Aptos" w:hAnsi="Aptos" w:cs="Aptos"/>
          <w:sz w:val="18"/>
          <w:szCs w:val="18"/>
        </w:rPr>
        <w:t>Gráfica. Histórico Presupuesto de la Secretaría Distrital de Salud</w:t>
      </w:r>
    </w:p>
    <w:p w:rsidR="00743DA6" w:rsidRDefault="00D95D19">
      <w:pPr>
        <w:jc w:val="both"/>
      </w:pPr>
      <w:r>
        <w:rPr>
          <w:noProof/>
          <w:lang w:val="es-CO"/>
        </w:rPr>
        <w:drawing>
          <wp:inline distT="114300" distB="114300" distL="114300" distR="114300">
            <wp:extent cx="5610225" cy="2861217"/>
            <wp:effectExtent l="0" t="0" r="0" b="0"/>
            <wp:docPr id="212739957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7"/>
                    <a:srcRect/>
                    <a:stretch>
                      <a:fillRect/>
                    </a:stretch>
                  </pic:blipFill>
                  <pic:spPr>
                    <a:xfrm>
                      <a:off x="0" y="0"/>
                      <a:ext cx="5610225" cy="2861217"/>
                    </a:xfrm>
                    <a:prstGeom prst="rect">
                      <a:avLst/>
                    </a:prstGeom>
                    <a:ln/>
                  </pic:spPr>
                </pic:pic>
              </a:graphicData>
            </a:graphic>
          </wp:inline>
        </w:drawing>
      </w:r>
    </w:p>
    <w:p w:rsidR="00743DA6" w:rsidRDefault="00D95D19">
      <w:pPr>
        <w:spacing w:before="240" w:after="240" w:line="276" w:lineRule="auto"/>
        <w:jc w:val="center"/>
      </w:pPr>
      <w:r>
        <w:rPr>
          <w:sz w:val="18"/>
          <w:szCs w:val="18"/>
        </w:rPr>
        <w:t>Fuente: Elaboración propia (2025) con base en la información suministrada de la SDH: Comparativo presupuesto anual por entidades 2022-2026</w:t>
      </w:r>
    </w:p>
    <w:p w:rsidR="00743DA6" w:rsidRDefault="00D95D19">
      <w:pPr>
        <w:spacing w:before="240" w:after="240"/>
        <w:jc w:val="both"/>
        <w:rPr>
          <w:sz w:val="22"/>
          <w:szCs w:val="22"/>
        </w:rPr>
      </w:pPr>
      <w:r>
        <w:rPr>
          <w:sz w:val="22"/>
          <w:szCs w:val="22"/>
        </w:rPr>
        <w:t>El estancamiento presupuestal de la SDS desde 2024 —con incrementos anuales inferiores a la inflación— genera un desbalance crítico: la entidad encargada de dirigir el sistema se debilita mientras el gasto operativo, financiero y asistencial aumenta. Esta desproporcionalidad es una alerta seria, porque un sector de 10 billones no puede ser gobernado con una autoridad sanitaria cuyo presupuesto crece menos del 4 % anual. Si la SDS no crece en capacidad institucional, gestión del riesgo, vigilancia y control, Bogotá corre el riesgo de operar un sistema cada vez más grande, costoso y complejo sin una rectoría proporcional que garantice calidad, eficiencia, sostenibilidad y capacidad propia para ejecutar proyectos de inversión.</w:t>
      </w:r>
    </w:p>
    <w:p w:rsidR="00743DA6" w:rsidRDefault="00D95D19">
      <w:pPr>
        <w:spacing w:before="240" w:after="240"/>
        <w:jc w:val="both"/>
        <w:rPr>
          <w:sz w:val="22"/>
          <w:szCs w:val="22"/>
        </w:rPr>
      </w:pPr>
      <w:r>
        <w:rPr>
          <w:sz w:val="22"/>
          <w:szCs w:val="22"/>
        </w:rPr>
        <w:t>La limitada flexibilidad financiera implica que la Secretaría Distrital de Salud depende del Fondo Financiero Distrital de Salud para ejecutar proyectos de modernización institucional, fortalecimiento tecnológico, salud digital e iniciativas de participación comunitaria. Esto representa un desafío para el adecuado ejercicio de su rol rector, especialmente en un sistema que exige vigilancia estricta sobre Capital Salud y las Subredes por sus riesgos financieros recurrentes.</w:t>
      </w:r>
    </w:p>
    <w:p w:rsidR="00743DA6" w:rsidRDefault="00D95D19">
      <w:pPr>
        <w:spacing w:before="240" w:after="240"/>
        <w:jc w:val="both"/>
        <w:rPr>
          <w:b/>
          <w:bCs/>
          <w:sz w:val="22"/>
          <w:szCs w:val="22"/>
        </w:rPr>
      </w:pPr>
      <w:r>
        <w:rPr>
          <w:b/>
          <w:bCs/>
          <w:sz w:val="22"/>
          <w:szCs w:val="22"/>
        </w:rPr>
        <w:t>Fondo Financiero Distrital de Salud (FFDS)</w:t>
      </w:r>
    </w:p>
    <w:p w:rsidR="00743DA6" w:rsidRDefault="00D95D19">
      <w:pPr>
        <w:spacing w:before="240" w:after="240"/>
        <w:jc w:val="both"/>
        <w:rPr>
          <w:sz w:val="22"/>
          <w:szCs w:val="22"/>
        </w:rPr>
      </w:pPr>
      <w:r>
        <w:rPr>
          <w:sz w:val="22"/>
          <w:szCs w:val="22"/>
        </w:rPr>
        <w:t>Entre 2022 y 2026, el Fondo Financiero Distrital de Salud se convierte en el verdadero motor del crecimiento del sector, al pasar de $3,127 billones en 2022 a $5,145 billones en 2026, es decir, un incremento acumulado de $2,018 billones, equivalente a un crecimiento del 64,5% en solo cuatro años. Estas cifras evidencian que Bogotá ha sostenido una expansión acelerada del gasto en salud, impulsada principalmente por el aumento de la UPC del régimen subsidiado, el crecimiento de la población afiliada, la demanda derivada de la migración y la expansión del Modelo Salud Más Bienestar en los territorios. Sin embargo, este crecimiento no responde a una estrategia de fortalecimiento estructural, sino a presiones externas del aseguramiento que absorben la mayor parte de los recursos, dejando rezagadas áreas críticas como infraestructura hospitalaria, salud pública territorial y fortalecimiento financiero de las Subredes.</w:t>
      </w:r>
    </w:p>
    <w:p w:rsidR="00743DA6" w:rsidRDefault="00D95D19">
      <w:pPr>
        <w:spacing w:before="240" w:after="240"/>
        <w:jc w:val="both"/>
        <w:rPr>
          <w:sz w:val="22"/>
          <w:szCs w:val="22"/>
        </w:rPr>
      </w:pPr>
      <w:r>
        <w:rPr>
          <w:sz w:val="22"/>
          <w:szCs w:val="22"/>
        </w:rPr>
        <w:t xml:space="preserve">Con un presupuesto superior a $5,14 billones, el FFDS es el eje financiero del sector. Presenta un crecimiento del 8,53 % frente a 2025, y más del 99,9 % de sus recursos se destinan a inversión. </w:t>
      </w:r>
    </w:p>
    <w:p w:rsidR="00743DA6" w:rsidRDefault="00D95D19">
      <w:pPr>
        <w:spacing w:before="240" w:after="240" w:line="259" w:lineRule="auto"/>
        <w:jc w:val="center"/>
      </w:pPr>
      <w:r>
        <w:rPr>
          <w:rFonts w:ascii="Aptos" w:eastAsia="Aptos" w:hAnsi="Aptos" w:cs="Aptos"/>
          <w:sz w:val="18"/>
          <w:szCs w:val="18"/>
        </w:rPr>
        <w:t>Gráfica. Histórico Presupuesto Fondo Financiero Distrital de Salud 2022 - 2026</w:t>
      </w:r>
    </w:p>
    <w:p w:rsidR="00743DA6" w:rsidRDefault="00D95D19">
      <w:pPr>
        <w:jc w:val="both"/>
      </w:pPr>
      <w:r>
        <w:rPr>
          <w:noProof/>
          <w:lang w:val="es-CO"/>
        </w:rPr>
        <w:drawing>
          <wp:inline distT="114300" distB="114300" distL="114300" distR="114300">
            <wp:extent cx="5610225" cy="3728215"/>
            <wp:effectExtent l="0" t="0" r="0" b="0"/>
            <wp:docPr id="212739957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8"/>
                    <a:srcRect/>
                    <a:stretch>
                      <a:fillRect/>
                    </a:stretch>
                  </pic:blipFill>
                  <pic:spPr>
                    <a:xfrm>
                      <a:off x="0" y="0"/>
                      <a:ext cx="5610225" cy="3728215"/>
                    </a:xfrm>
                    <a:prstGeom prst="rect">
                      <a:avLst/>
                    </a:prstGeom>
                    <a:ln/>
                  </pic:spPr>
                </pic:pic>
              </a:graphicData>
            </a:graphic>
          </wp:inline>
        </w:drawing>
      </w:r>
    </w:p>
    <w:p w:rsidR="00743DA6" w:rsidRDefault="00D95D19">
      <w:pPr>
        <w:spacing w:before="240" w:after="240" w:line="276" w:lineRule="auto"/>
        <w:jc w:val="center"/>
      </w:pPr>
      <w:r>
        <w:rPr>
          <w:sz w:val="18"/>
          <w:szCs w:val="18"/>
        </w:rPr>
        <w:t>Fuente: Elaboración propia (2025) con base en la información suministrada de la SDH: Comparativo presupuesto anual por entidades 2022-2026</w:t>
      </w:r>
    </w:p>
    <w:p w:rsidR="00743DA6" w:rsidRDefault="00D95D19">
      <w:pPr>
        <w:spacing w:before="240" w:after="240"/>
        <w:jc w:val="both"/>
        <w:rPr>
          <w:sz w:val="22"/>
          <w:szCs w:val="22"/>
        </w:rPr>
      </w:pPr>
      <w:r>
        <w:rPr>
          <w:sz w:val="22"/>
          <w:szCs w:val="22"/>
        </w:rPr>
        <w:t>El comportamiento del FFDS muestra que Bogotá destina billones de pesos adicionales cada año para sostener el aseguramiento, pero no avanza con la misma fuerza en transformar las condiciones reales del sistema de salud. El incremento de más de 2 billones de pesos entre 2022 y 2026 muestra una ciudad que invierte ampliamente en pagar UPC y servicios, mientras posterga la renovación de hospitales, la reducción de tiempos de espera, la expansión de la capacidad instalada y la estabilización laboral del talento humano. Esta dinámica profundiza la dependencia del gasto asistencial y limita la posibilidad de una reforma estructural que priorice salud pública, prevención, redes funcionales y un modelo integral de atención. El crecimiento del FFDS demuestra que el distrito paga cada vez más por un sistema que no necesariamente mejora al ritmo de la inversión, y que requiere decisiones de fondo para garantizar que cada peso adicional se traduzca en mejor salud para la ciudadanía.</w:t>
      </w:r>
    </w:p>
    <w:p w:rsidR="00743DA6" w:rsidRDefault="00D95D19">
      <w:pPr>
        <w:spacing w:before="240" w:after="240"/>
        <w:jc w:val="both"/>
        <w:rPr>
          <w:sz w:val="22"/>
          <w:szCs w:val="22"/>
        </w:rPr>
      </w:pPr>
      <w:r>
        <w:rPr>
          <w:sz w:val="22"/>
          <w:szCs w:val="22"/>
        </w:rPr>
        <w:t>Este crecimiento acelerado del FFDS, aunque necesario para sostener la red pública y garantizar continuidad en la prestación de servicios, deja una alerta importante para la discusión presupuestal: el sistema se está volviendo cada vez más costoso sin que exista una estrategia clara de eficiencia, contención del gasto ni fortalecimiento real de la gobernanza sanitaria. Este desbalance obliga al Concejo a evaluar si el modelo actual es sostenible y qué ajustes se requieren para evitar que el FFDS continúe absorbiendo, de manera desproporcionada, el crecimiento del presupuesto distrital.</w:t>
      </w:r>
    </w:p>
    <w:p w:rsidR="00743DA6" w:rsidRDefault="00D95D19">
      <w:pPr>
        <w:jc w:val="both"/>
        <w:rPr>
          <w:sz w:val="22"/>
          <w:szCs w:val="22"/>
        </w:rPr>
      </w:pPr>
      <w:r>
        <w:rPr>
          <w:sz w:val="22"/>
          <w:szCs w:val="22"/>
        </w:rPr>
        <w:t>Que el presupuesto del sector pase de $3,2 billones en 2022 a más de $5,25 billones en 2026 plantea preguntas sobre el impacto real de estos incrementos: ¿se están resolviendo los problemas estructurales de las Subredes?, ¿se está cerrando la brecha en infraestructura hospitalaria?, ¿se está modernizando la capacidad de atención o simplemente se están cubriendo déficits acumulados? El aumento del gasto no es en sí mismo una política; la política es cómo se orienta ese gasto.</w:t>
      </w:r>
    </w:p>
    <w:p w:rsidR="00743DA6" w:rsidRDefault="00743DA6">
      <w:pPr>
        <w:jc w:val="both"/>
        <w:rPr>
          <w:sz w:val="22"/>
          <w:szCs w:val="22"/>
        </w:rPr>
      </w:pPr>
    </w:p>
    <w:p w:rsidR="00743DA6" w:rsidRDefault="00D95D19">
      <w:pPr>
        <w:jc w:val="both"/>
        <w:rPr>
          <w:sz w:val="22"/>
          <w:szCs w:val="22"/>
        </w:rPr>
      </w:pPr>
      <w:r>
        <w:rPr>
          <w:sz w:val="22"/>
          <w:szCs w:val="22"/>
        </w:rPr>
        <w:t>En términos globales, el sector salud central (SDS + FFDS) presenta un incremento presupuestal aproximado del 8,4 % frente a 2025.</w:t>
      </w:r>
    </w:p>
    <w:p w:rsidR="00743DA6" w:rsidRDefault="00743DA6">
      <w:pPr>
        <w:jc w:val="both"/>
        <w:rPr>
          <w:sz w:val="22"/>
          <w:szCs w:val="22"/>
        </w:rPr>
      </w:pPr>
    </w:p>
    <w:p w:rsidR="00743DA6" w:rsidRDefault="00D95D19">
      <w:pPr>
        <w:spacing w:before="240" w:after="240"/>
        <w:rPr>
          <w:b/>
          <w:bCs/>
          <w:sz w:val="22"/>
          <w:szCs w:val="22"/>
        </w:rPr>
      </w:pPr>
      <w:r>
        <w:rPr>
          <w:b/>
          <w:bCs/>
          <w:sz w:val="22"/>
          <w:szCs w:val="22"/>
        </w:rPr>
        <w:t>Panorama General del Sector Salud en Bogotá – 2026</w:t>
      </w:r>
    </w:p>
    <w:p w:rsidR="00743DA6" w:rsidRDefault="00D95D19">
      <w:pPr>
        <w:spacing w:before="240" w:after="240"/>
        <w:jc w:val="both"/>
        <w:rPr>
          <w:sz w:val="22"/>
          <w:szCs w:val="22"/>
        </w:rPr>
      </w:pPr>
      <w:r>
        <w:rPr>
          <w:sz w:val="22"/>
          <w:szCs w:val="22"/>
        </w:rPr>
        <w:t>El Sector Salud de Bogotá para la vigencia 2026 asciende a $10,82 billones, integrando cuatro grandes pilares: la Secretaría Distrital de Salud (SDS), el Fondo Financiero Distrital de Salud (FFDS), las Subredes Integradas de Servicios de Salud (SISS) y Capital Salud EPS-S. Esta cifra convierte al sector en el más grande del Distrito, con una participación cercana al 30% del presupuesto total.</w:t>
      </w:r>
    </w:p>
    <w:p w:rsidR="00743DA6" w:rsidRDefault="00D95D19">
      <w:pPr>
        <w:numPr>
          <w:ilvl w:val="0"/>
          <w:numId w:val="61"/>
        </w:numPr>
        <w:spacing w:before="240"/>
        <w:jc w:val="both"/>
        <w:rPr>
          <w:sz w:val="22"/>
          <w:szCs w:val="22"/>
        </w:rPr>
      </w:pPr>
      <w:r>
        <w:rPr>
          <w:sz w:val="22"/>
          <w:szCs w:val="22"/>
        </w:rPr>
        <w:t>La Secretaría Distrital de Salud (SDS), responsable de la rectoría y la vigilancia;</w:t>
      </w:r>
    </w:p>
    <w:p w:rsidR="00743DA6" w:rsidRDefault="00D95D19">
      <w:pPr>
        <w:numPr>
          <w:ilvl w:val="0"/>
          <w:numId w:val="61"/>
        </w:numPr>
        <w:jc w:val="both"/>
        <w:rPr>
          <w:sz w:val="22"/>
          <w:szCs w:val="22"/>
        </w:rPr>
      </w:pPr>
      <w:r>
        <w:rPr>
          <w:sz w:val="22"/>
          <w:szCs w:val="22"/>
        </w:rPr>
        <w:t>El Fondo Financiero Distrital de Salud (FFDS), que concentra los recursos del aseguramiento, salud pública e inversión;</w:t>
      </w:r>
    </w:p>
    <w:p w:rsidR="00743DA6" w:rsidRDefault="00D95D19">
      <w:pPr>
        <w:numPr>
          <w:ilvl w:val="0"/>
          <w:numId w:val="61"/>
        </w:numPr>
        <w:jc w:val="both"/>
        <w:rPr>
          <w:sz w:val="22"/>
          <w:szCs w:val="22"/>
        </w:rPr>
      </w:pPr>
      <w:r>
        <w:rPr>
          <w:sz w:val="22"/>
          <w:szCs w:val="22"/>
        </w:rPr>
        <w:t>Las Subredes Integradas de Servicios de Salud (SISS), encargadas de la prestación directa de servicios; y</w:t>
      </w:r>
    </w:p>
    <w:p w:rsidR="00743DA6" w:rsidRDefault="00D95D19">
      <w:pPr>
        <w:numPr>
          <w:ilvl w:val="0"/>
          <w:numId w:val="61"/>
        </w:numPr>
        <w:spacing w:after="240"/>
        <w:jc w:val="both"/>
        <w:rPr>
          <w:sz w:val="22"/>
          <w:szCs w:val="22"/>
        </w:rPr>
      </w:pPr>
      <w:r>
        <w:rPr>
          <w:sz w:val="22"/>
          <w:szCs w:val="22"/>
        </w:rPr>
        <w:t>Capital Salud EPS-S, asegurador público del régimen subsidiado y parte del contributivo.</w:t>
      </w:r>
    </w:p>
    <w:p w:rsidR="00743DA6" w:rsidRDefault="00D95D19">
      <w:pPr>
        <w:spacing w:before="240" w:after="240"/>
        <w:jc w:val="both"/>
        <w:rPr>
          <w:b/>
          <w:bCs/>
          <w:sz w:val="22"/>
          <w:szCs w:val="22"/>
        </w:rPr>
      </w:pPr>
      <w:r>
        <w:rPr>
          <w:b/>
          <w:bCs/>
          <w:sz w:val="22"/>
          <w:szCs w:val="22"/>
        </w:rPr>
        <w:t>Subredes Integradas de Servicios de Salud – SISS</w:t>
      </w:r>
    </w:p>
    <w:p w:rsidR="00743DA6" w:rsidRDefault="00D95D19">
      <w:pPr>
        <w:spacing w:before="240" w:after="240"/>
        <w:jc w:val="both"/>
        <w:rPr>
          <w:sz w:val="22"/>
          <w:szCs w:val="22"/>
        </w:rPr>
      </w:pPr>
      <w:r>
        <w:rPr>
          <w:sz w:val="22"/>
          <w:szCs w:val="22"/>
        </w:rPr>
        <w:t>Con un presupuesto total aprobado por CONFIS de $2,82 billones, las Subredes representan el componente operativo del sistema y se distribuye su presupuesto así:</w:t>
      </w:r>
    </w:p>
    <w:sdt>
      <w:sdtPr>
        <w:rPr>
          <w:rFonts w:ascii="Arial" w:eastAsia="Arial" w:hAnsi="Arial" w:cs="Arial"/>
          <w:sz w:val="24"/>
          <w:szCs w:val="24"/>
          <w:lang w:val="es" w:eastAsia="es-CO"/>
        </w:rPr>
        <w:tag w:val="goog_rdk_1000"/>
        <w:id w:val="1494982769"/>
        <w:lock w:val="contentLocked"/>
      </w:sdtPr>
      <w:sdtEndPr/>
      <w:sdtContent>
        <w:tbl>
          <w:tblPr>
            <w:tblStyle w:val="affffffffd"/>
            <w:tblW w:w="88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20"/>
            <w:gridCol w:w="4420"/>
          </w:tblGrid>
          <w:tr w:rsidR="00743DA6">
            <w:tc>
              <w:tcPr>
                <w:tcW w:w="44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pPr>
                <w:r>
                  <w:t>Subred</w:t>
                </w:r>
              </w:p>
            </w:tc>
            <w:tc>
              <w:tcPr>
                <w:tcW w:w="44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pPr>
                <w:r>
                  <w:t>Ingresos 2026</w:t>
                </w:r>
              </w:p>
            </w:tc>
          </w:tr>
          <w:tr w:rsidR="00743DA6">
            <w:tc>
              <w:tcPr>
                <w:tcW w:w="44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pPr>
                <w:r>
                  <w:t>Centro Oriente</w:t>
                </w:r>
              </w:p>
            </w:tc>
            <w:tc>
              <w:tcPr>
                <w:tcW w:w="44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pPr>
                <w:r>
                  <w:t>$ 897.850 millones</w:t>
                </w:r>
              </w:p>
            </w:tc>
          </w:tr>
          <w:tr w:rsidR="00743DA6">
            <w:tc>
              <w:tcPr>
                <w:tcW w:w="44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pPr>
                <w:r>
                  <w:t>Norte</w:t>
                </w:r>
              </w:p>
            </w:tc>
            <w:tc>
              <w:tcPr>
                <w:tcW w:w="44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pPr>
                <w:r>
                  <w:t>$ 614.431 millones</w:t>
                </w:r>
              </w:p>
            </w:tc>
          </w:tr>
          <w:tr w:rsidR="00743DA6">
            <w:tc>
              <w:tcPr>
                <w:tcW w:w="44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pPr>
                <w:r>
                  <w:t>Sur</w:t>
                </w:r>
              </w:p>
            </w:tc>
            <w:tc>
              <w:tcPr>
                <w:tcW w:w="44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pPr>
                <w:r>
                  <w:t>$ 649.690 millones</w:t>
                </w:r>
              </w:p>
            </w:tc>
          </w:tr>
          <w:tr w:rsidR="00743DA6">
            <w:tc>
              <w:tcPr>
                <w:tcW w:w="44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pPr>
                <w:r>
                  <w:t>Sur Occidente</w:t>
                </w:r>
              </w:p>
            </w:tc>
            <w:tc>
              <w:tcPr>
                <w:tcW w:w="4420" w:type="dxa"/>
                <w:shd w:val="clear" w:color="auto" w:fill="auto"/>
                <w:tcMar>
                  <w:top w:w="100" w:type="dxa"/>
                  <w:left w:w="100" w:type="dxa"/>
                  <w:bottom w:w="100" w:type="dxa"/>
                  <w:right w:w="100" w:type="dxa"/>
                </w:tcMar>
              </w:tcPr>
              <w:p w:rsidR="00743DA6" w:rsidRDefault="00D95D19">
                <w:pPr>
                  <w:pBdr>
                    <w:top w:val="nil"/>
                    <w:left w:val="nil"/>
                    <w:bottom w:val="nil"/>
                    <w:right w:val="nil"/>
                    <w:between w:val="nil"/>
                  </w:pBdr>
                </w:pPr>
                <w:r>
                  <w:t>$ 659.445 millones</w:t>
                </w:r>
              </w:p>
            </w:tc>
          </w:tr>
        </w:tbl>
      </w:sdtContent>
    </w:sdt>
    <w:p w:rsidR="00743DA6" w:rsidRDefault="00D95D19">
      <w:pPr>
        <w:spacing w:before="240" w:after="240"/>
        <w:jc w:val="both"/>
        <w:rPr>
          <w:sz w:val="22"/>
          <w:szCs w:val="22"/>
        </w:rPr>
      </w:pPr>
      <w:r>
        <w:rPr>
          <w:sz w:val="22"/>
          <w:szCs w:val="22"/>
        </w:rPr>
        <w:t>Dentro de su presupuesto se destacan:</w:t>
      </w:r>
    </w:p>
    <w:p w:rsidR="00743DA6" w:rsidRDefault="00D95D19">
      <w:pPr>
        <w:numPr>
          <w:ilvl w:val="0"/>
          <w:numId w:val="39"/>
        </w:numPr>
        <w:jc w:val="both"/>
        <w:rPr>
          <w:sz w:val="22"/>
          <w:szCs w:val="22"/>
        </w:rPr>
      </w:pPr>
      <w:r>
        <w:rPr>
          <w:sz w:val="22"/>
          <w:szCs w:val="22"/>
        </w:rPr>
        <w:t>Gastos de operación comercial superiores a $1,7 billones, reflejo del volumen de servicios prestados.</w:t>
      </w:r>
    </w:p>
    <w:p w:rsidR="00743DA6" w:rsidRDefault="00D95D19">
      <w:pPr>
        <w:numPr>
          <w:ilvl w:val="0"/>
          <w:numId w:val="39"/>
        </w:numPr>
        <w:rPr>
          <w:sz w:val="22"/>
          <w:szCs w:val="22"/>
        </w:rPr>
      </w:pPr>
      <w:r>
        <w:rPr>
          <w:sz w:val="22"/>
          <w:szCs w:val="22"/>
        </w:rPr>
        <w:t>Funcionamiento por más de $535.000 millones.</w:t>
      </w:r>
    </w:p>
    <w:p w:rsidR="00743DA6" w:rsidRDefault="00D95D19">
      <w:pPr>
        <w:numPr>
          <w:ilvl w:val="0"/>
          <w:numId w:val="39"/>
        </w:numPr>
        <w:spacing w:after="240"/>
        <w:rPr>
          <w:sz w:val="22"/>
          <w:szCs w:val="22"/>
        </w:rPr>
      </w:pPr>
      <w:r>
        <w:rPr>
          <w:sz w:val="22"/>
          <w:szCs w:val="22"/>
        </w:rPr>
        <w:t>Inversiones por cerca de $509.000 millones.</w:t>
      </w:r>
    </w:p>
    <w:p w:rsidR="00743DA6" w:rsidRDefault="00D95D19">
      <w:pPr>
        <w:spacing w:before="240" w:after="240"/>
        <w:jc w:val="both"/>
        <w:rPr>
          <w:sz w:val="22"/>
          <w:szCs w:val="22"/>
        </w:rPr>
      </w:pPr>
      <w:r>
        <w:rPr>
          <w:sz w:val="22"/>
          <w:szCs w:val="22"/>
        </w:rPr>
        <w:t>Las Subredes presentan riesgos importantes derivados de:</w:t>
      </w:r>
    </w:p>
    <w:p w:rsidR="00743DA6" w:rsidRDefault="00D95D19">
      <w:pPr>
        <w:numPr>
          <w:ilvl w:val="0"/>
          <w:numId w:val="54"/>
        </w:numPr>
        <w:rPr>
          <w:sz w:val="22"/>
          <w:szCs w:val="22"/>
        </w:rPr>
      </w:pPr>
      <w:r>
        <w:rPr>
          <w:sz w:val="22"/>
          <w:szCs w:val="22"/>
        </w:rPr>
        <w:t>Crecimiento de la cartera por cobrar (especialmente de EPS),</w:t>
      </w:r>
    </w:p>
    <w:p w:rsidR="00743DA6" w:rsidRDefault="00D95D19">
      <w:pPr>
        <w:numPr>
          <w:ilvl w:val="0"/>
          <w:numId w:val="54"/>
        </w:numPr>
        <w:rPr>
          <w:sz w:val="22"/>
          <w:szCs w:val="22"/>
        </w:rPr>
      </w:pPr>
      <w:r>
        <w:rPr>
          <w:sz w:val="22"/>
          <w:szCs w:val="22"/>
        </w:rPr>
        <w:t>Dependencia financiera de Capital Salud,</w:t>
      </w:r>
    </w:p>
    <w:p w:rsidR="00743DA6" w:rsidRDefault="00D95D19">
      <w:pPr>
        <w:numPr>
          <w:ilvl w:val="0"/>
          <w:numId w:val="54"/>
        </w:numPr>
        <w:spacing w:after="240"/>
        <w:rPr>
          <w:sz w:val="22"/>
          <w:szCs w:val="22"/>
        </w:rPr>
      </w:pPr>
      <w:r>
        <w:rPr>
          <w:sz w:val="22"/>
          <w:szCs w:val="22"/>
        </w:rPr>
        <w:t>Históricos déficits operativos cubiertos mediante saneamientos periódicos.</w:t>
      </w:r>
    </w:p>
    <w:p w:rsidR="00743DA6" w:rsidRDefault="00D95D19">
      <w:pPr>
        <w:spacing w:before="240" w:after="240"/>
        <w:jc w:val="both"/>
        <w:rPr>
          <w:b/>
          <w:bCs/>
          <w:sz w:val="22"/>
          <w:szCs w:val="22"/>
        </w:rPr>
      </w:pPr>
      <w:r>
        <w:rPr>
          <w:b/>
          <w:bCs/>
          <w:sz w:val="22"/>
          <w:szCs w:val="22"/>
        </w:rPr>
        <w:t>Capital Salud EPS-S</w:t>
      </w:r>
    </w:p>
    <w:p w:rsidR="00743DA6" w:rsidRDefault="00D95D19">
      <w:pPr>
        <w:spacing w:before="240" w:after="240"/>
        <w:jc w:val="both"/>
        <w:rPr>
          <w:sz w:val="22"/>
          <w:szCs w:val="22"/>
        </w:rPr>
      </w:pPr>
      <w:r>
        <w:rPr>
          <w:sz w:val="22"/>
          <w:szCs w:val="22"/>
        </w:rPr>
        <w:t>Con ingresos proyectados de $2,746 billones y gastos por $2,692 billones, Capital Salud mantiene un margen muy estrecho. Su estabilidad depende de:</w:t>
      </w:r>
    </w:p>
    <w:p w:rsidR="00743DA6" w:rsidRDefault="00D95D19">
      <w:pPr>
        <w:numPr>
          <w:ilvl w:val="0"/>
          <w:numId w:val="50"/>
        </w:numPr>
        <w:rPr>
          <w:sz w:val="22"/>
          <w:szCs w:val="22"/>
        </w:rPr>
      </w:pPr>
      <w:r>
        <w:rPr>
          <w:sz w:val="22"/>
          <w:szCs w:val="22"/>
        </w:rPr>
        <w:t>La actualización de la UPC,</w:t>
      </w:r>
    </w:p>
    <w:p w:rsidR="00743DA6" w:rsidRDefault="00D95D19">
      <w:pPr>
        <w:numPr>
          <w:ilvl w:val="0"/>
          <w:numId w:val="50"/>
        </w:numPr>
        <w:rPr>
          <w:sz w:val="22"/>
          <w:szCs w:val="22"/>
        </w:rPr>
      </w:pPr>
      <w:r>
        <w:rPr>
          <w:sz w:val="22"/>
          <w:szCs w:val="22"/>
        </w:rPr>
        <w:t>Su capacidad para reducir glosas y mejorar la oportunidad de pago,</w:t>
      </w:r>
    </w:p>
    <w:p w:rsidR="00743DA6" w:rsidRDefault="00D95D19">
      <w:pPr>
        <w:numPr>
          <w:ilvl w:val="0"/>
          <w:numId w:val="50"/>
        </w:numPr>
        <w:rPr>
          <w:sz w:val="22"/>
          <w:szCs w:val="22"/>
        </w:rPr>
      </w:pPr>
      <w:r>
        <w:rPr>
          <w:sz w:val="22"/>
          <w:szCs w:val="22"/>
        </w:rPr>
        <w:t>La gestión de riesgo en población vulnerable,</w:t>
      </w:r>
    </w:p>
    <w:p w:rsidR="00743DA6" w:rsidRDefault="00D95D19">
      <w:pPr>
        <w:numPr>
          <w:ilvl w:val="0"/>
          <w:numId w:val="50"/>
        </w:numPr>
        <w:spacing w:after="240"/>
        <w:rPr>
          <w:sz w:val="22"/>
          <w:szCs w:val="22"/>
        </w:rPr>
      </w:pPr>
      <w:r>
        <w:rPr>
          <w:sz w:val="22"/>
          <w:szCs w:val="22"/>
        </w:rPr>
        <w:t>La articulación efectiva con las Subredes.</w:t>
      </w:r>
    </w:p>
    <w:p w:rsidR="00743DA6" w:rsidRDefault="00D95D19">
      <w:pPr>
        <w:spacing w:before="240" w:after="240"/>
        <w:jc w:val="both"/>
        <w:rPr>
          <w:sz w:val="22"/>
          <w:szCs w:val="22"/>
        </w:rPr>
      </w:pPr>
      <w:r>
        <w:rPr>
          <w:sz w:val="22"/>
          <w:szCs w:val="22"/>
        </w:rPr>
        <w:t>Dado su tamaño y rol central como principal pagador de la red pública, cualquier deterioro en su capacidad financiera representa un riesgo sistémico elevado.</w:t>
      </w:r>
    </w:p>
    <w:p w:rsidR="00743DA6" w:rsidRDefault="00D95D19">
      <w:pPr>
        <w:spacing w:before="240" w:after="240" w:line="276" w:lineRule="auto"/>
        <w:jc w:val="both"/>
        <w:rPr>
          <w:sz w:val="22"/>
          <w:szCs w:val="22"/>
        </w:rPr>
      </w:pPr>
      <w:r>
        <w:rPr>
          <w:sz w:val="22"/>
          <w:szCs w:val="22"/>
        </w:rPr>
        <w:t>La red pública enfrenta una presión creciente debido al aumento en la demanda de servicios, la carga de enfermedad, la población migrante y la infraestructura limitada. Las Subredes necesitan modernización, equipamiento y fortalecimiento del talento humano para garantizar calidad y continuidad en la atención. Capital Salud requiere vigilancia y estrategias de saneamiento financiero para garantizar su sostenibilidad. El análisis integrado del sector permite identificar tensiones entre operación, sostenibilidad y gobernanza. El presupuesto 2026 se centra en mantener la operación del sistema, pero no en transformarlo. La expansión del aseguramiento exige mecanismos de eficiencia, contención de costos y fortalecimiento institucional. La ausencia de estos elementos implican riesgos estructurales que deben ser atendidos mediante decisiones de política pública, inversiones estratégicas y reformas organizacionales.</w:t>
      </w:r>
    </w:p>
    <w:p w:rsidR="00743DA6" w:rsidRDefault="00D95D19">
      <w:pPr>
        <w:spacing w:after="240" w:line="259" w:lineRule="auto"/>
        <w:jc w:val="both"/>
        <w:rPr>
          <w:b/>
          <w:bCs/>
          <w:sz w:val="22"/>
          <w:szCs w:val="22"/>
        </w:rPr>
      </w:pPr>
      <w:r>
        <w:rPr>
          <w:rFonts w:ascii="Aptos" w:eastAsia="Aptos" w:hAnsi="Aptos" w:cs="Aptos"/>
          <w:b/>
          <w:bCs/>
          <w:sz w:val="22"/>
          <w:szCs w:val="22"/>
        </w:rPr>
        <w:t xml:space="preserve">Análisis proyecto por proyecto de inversión del </w:t>
      </w:r>
      <w:r>
        <w:rPr>
          <w:b/>
          <w:bCs/>
          <w:sz w:val="22"/>
          <w:szCs w:val="22"/>
        </w:rPr>
        <w:t xml:space="preserve">sector salud central (SDS + FFDS) </w:t>
      </w:r>
    </w:p>
    <w:p w:rsidR="00743DA6" w:rsidRDefault="00D95D19">
      <w:pPr>
        <w:spacing w:before="240" w:after="240" w:line="276" w:lineRule="auto"/>
        <w:ind w:right="62"/>
        <w:jc w:val="both"/>
        <w:rPr>
          <w:b/>
          <w:bCs/>
          <w:sz w:val="22"/>
          <w:szCs w:val="22"/>
        </w:rPr>
      </w:pPr>
      <w:r>
        <w:rPr>
          <w:sz w:val="22"/>
          <w:szCs w:val="22"/>
        </w:rPr>
        <w:t>A continuación se muestra la relación entre presupuesto 2025-2026  a nivel de compromiso y giro por proyecto de inversión del sector salud:</w:t>
      </w:r>
    </w:p>
    <w:p w:rsidR="00743DA6" w:rsidRDefault="00D95D19">
      <w:pPr>
        <w:spacing w:before="240" w:after="240" w:line="259" w:lineRule="auto"/>
        <w:jc w:val="center"/>
        <w:rPr>
          <w:b/>
          <w:bCs/>
          <w:sz w:val="20"/>
          <w:szCs w:val="20"/>
        </w:rPr>
      </w:pPr>
      <w:r>
        <w:rPr>
          <w:sz w:val="18"/>
          <w:szCs w:val="18"/>
        </w:rPr>
        <w:t>Tabla. Proyectos de inversión comparativo 2025 proyección 2026</w:t>
      </w:r>
    </w:p>
    <w:p w:rsidR="00743DA6" w:rsidRDefault="00743DA6"/>
    <w:tbl>
      <w:tblPr>
        <w:tblStyle w:val="affffffffe"/>
        <w:tblpPr w:leftFromText="340" w:rightFromText="31680" w:topFromText="180" w:bottomFromText="180" w:vertAnchor="text"/>
        <w:tblW w:w="9465" w:type="dxa"/>
        <w:tblBorders>
          <w:top w:val="nil"/>
          <w:left w:val="nil"/>
          <w:bottom w:val="nil"/>
          <w:right w:val="nil"/>
          <w:insideH w:val="nil"/>
          <w:insideV w:val="nil"/>
        </w:tblBorders>
        <w:tblLayout w:type="fixed"/>
        <w:tblLook w:val="0600" w:firstRow="0" w:lastRow="0" w:firstColumn="0" w:lastColumn="0" w:noHBand="1" w:noVBand="1"/>
      </w:tblPr>
      <w:tblGrid>
        <w:gridCol w:w="2010"/>
        <w:gridCol w:w="1710"/>
        <w:gridCol w:w="1380"/>
        <w:gridCol w:w="1320"/>
        <w:gridCol w:w="1350"/>
        <w:gridCol w:w="1695"/>
      </w:tblGrid>
      <w:tr w:rsidR="00743DA6">
        <w:trPr>
          <w:trHeight w:val="1250"/>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pPr>
              <w:rPr>
                <w:b/>
                <w:bCs/>
                <w:sz w:val="18"/>
                <w:szCs w:val="18"/>
              </w:rPr>
            </w:pPr>
            <w:r>
              <w:rPr>
                <w:b/>
                <w:bCs/>
                <w:sz w:val="18"/>
                <w:szCs w:val="18"/>
              </w:rPr>
              <w:t>Proyectos de Inversión</w:t>
            </w:r>
          </w:p>
          <w:p w:rsidR="00743DA6" w:rsidRDefault="00D95D19">
            <w:pPr>
              <w:rPr>
                <w:b/>
                <w:bCs/>
                <w:sz w:val="18"/>
                <w:szCs w:val="18"/>
              </w:rPr>
            </w:pPr>
            <w:r>
              <w:rPr>
                <w:b/>
                <w:bCs/>
                <w:sz w:val="18"/>
                <w:szCs w:val="18"/>
              </w:rPr>
              <w:t>Sector Salud</w:t>
            </w:r>
          </w:p>
          <w:p w:rsidR="00743DA6" w:rsidRDefault="00D95D19">
            <w:pPr>
              <w:rPr>
                <w:b/>
                <w:bCs/>
                <w:sz w:val="18"/>
                <w:szCs w:val="18"/>
              </w:rPr>
            </w:pPr>
            <w:r>
              <w:rPr>
                <w:b/>
                <w:bCs/>
                <w:sz w:val="18"/>
                <w:szCs w:val="18"/>
              </w:rPr>
              <w:t>(SDS - FFDS)</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b/>
                <w:bCs/>
                <w:sz w:val="18"/>
                <w:szCs w:val="18"/>
              </w:rPr>
              <w:t>Suma de 2025_COMPROMISOS</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b/>
                <w:bCs/>
                <w:sz w:val="18"/>
                <w:szCs w:val="18"/>
              </w:rPr>
              <w:t>Suma de 2025_GIROS</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b/>
                <w:bCs/>
                <w:sz w:val="18"/>
                <w:szCs w:val="18"/>
              </w:rPr>
              <w:t xml:space="preserve"> Suma de 2025_PROG </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b/>
                <w:bCs/>
                <w:sz w:val="18"/>
                <w:szCs w:val="18"/>
              </w:rPr>
              <w:t xml:space="preserve"> Suma de 2026_PROG </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b/>
                <w:bCs/>
                <w:sz w:val="18"/>
                <w:szCs w:val="18"/>
              </w:rPr>
              <w:t xml:space="preserve"> Suma de Diferencia PROG </w:t>
            </w:r>
          </w:p>
        </w:tc>
      </w:tr>
      <w:tr w:rsidR="00743DA6">
        <w:trPr>
          <w:trHeight w:val="78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Implementación Aseguramiento y prestación integral de servicios de salud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2.373.053,00</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2.366.040,25</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3.505.216,42</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3.652.700,25</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147.483,83</w:t>
            </w:r>
          </w:p>
        </w:tc>
      </w:tr>
      <w:tr w:rsidR="00743DA6">
        <w:trPr>
          <w:trHeight w:val="78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Fortalecimiento de la Red Integrada de Servicios de Salud y Capital Salud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97.220,18</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94.984,00</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101.367,55</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188.537,76</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87.170,22</w:t>
            </w:r>
          </w:p>
        </w:tc>
      </w:tr>
      <w:tr w:rsidR="00743DA6">
        <w:trPr>
          <w:trHeight w:val="78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Fortalecimiento de la Gobernanza y Gobernabilidad de la Salud Pública en el marco de la atención primaria social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276.349,66</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169.497,41</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348.683,63</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393.508,24</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pPr>
              <w:rPr>
                <w:color w:val="00FF00"/>
              </w:rPr>
            </w:pPr>
            <w:r>
              <w:rPr>
                <w:sz w:val="18"/>
                <w:szCs w:val="18"/>
              </w:rPr>
              <w:t xml:space="preserve"> </w:t>
            </w:r>
            <w:r>
              <w:rPr>
                <w:color w:val="00FF00"/>
                <w:sz w:val="18"/>
                <w:szCs w:val="18"/>
              </w:rPr>
              <w:t>$             44.824,61</w:t>
            </w:r>
          </w:p>
        </w:tc>
      </w:tr>
      <w:tr w:rsidR="00743DA6">
        <w:trPr>
          <w:trHeight w:val="78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Generación de capacidades para la creación del centro de desarrollo tecnológico de producción de biológicos. Bogotá</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103.348,55</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105,30</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131.278,84</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161.749,22</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30.470,38</w:t>
            </w:r>
          </w:p>
        </w:tc>
      </w:tr>
      <w:tr w:rsidR="00743DA6">
        <w:trPr>
          <w:trHeight w:val="78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Mejoramiento del sistema de Emergencias Médicas en el nuevo Modelo de atención en salud más Bien-estar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38.781,75</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25.408,27</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83.419,93</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99.281,60</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15.861,67</w:t>
            </w:r>
          </w:p>
        </w:tc>
      </w:tr>
      <w:tr w:rsidR="00743DA6">
        <w:trPr>
          <w:trHeight w:val="78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Modernización y desarrollo administrativo de la Secretaria Distrital de Salud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28.513,73</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16.831,80</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41.484,19</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54.973,80</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13.489,61</w:t>
            </w:r>
          </w:p>
        </w:tc>
      </w:tr>
      <w:tr w:rsidR="00743DA6">
        <w:trPr>
          <w:trHeight w:val="78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Implementación de acciones del sector salud para la prevención y atención de diferentes formas de violencia intrafamiliar y de género a través de un plan de acción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654,10</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183,59</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1.550,81</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3.792,86</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w:t>
            </w:r>
            <w:r>
              <w:rPr>
                <w:sz w:val="18"/>
                <w:szCs w:val="18"/>
              </w:rPr>
              <w:tab/>
              <w:t xml:space="preserve">   2.242,05 </w:t>
            </w:r>
          </w:p>
        </w:tc>
      </w:tr>
      <w:tr w:rsidR="00743DA6">
        <w:trPr>
          <w:trHeight w:val="78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Implementación de intervenciones colectivas que promuevan conductas de cuidado priorizando la movilidad segura y saludable.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527,14</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228,76</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1.527,79</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3.646,34</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w:t>
            </w:r>
            <w:r>
              <w:rPr>
                <w:sz w:val="18"/>
                <w:szCs w:val="18"/>
              </w:rPr>
              <w:tab/>
              <w:t xml:space="preserve">   2.118,55</w:t>
            </w:r>
          </w:p>
        </w:tc>
      </w:tr>
      <w:tr w:rsidR="00743DA6">
        <w:trPr>
          <w:trHeight w:val="78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Fortalecimiento del ecosistema de CTeI para la salud pública de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15.124,38</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13.028,87</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21.085,29</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23.047,73</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w:t>
            </w:r>
            <w:r>
              <w:rPr>
                <w:sz w:val="18"/>
                <w:szCs w:val="18"/>
              </w:rPr>
              <w:tab/>
              <w:t>1.962,44</w:t>
            </w:r>
          </w:p>
        </w:tc>
      </w:tr>
      <w:tr w:rsidR="00743DA6">
        <w:trPr>
          <w:trHeight w:val="78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Transformación de la Participación social para el Bien-Estar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13.469,48</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8.419,59</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17.308,79</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19.033,67</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1.724,88</w:t>
            </w:r>
          </w:p>
        </w:tc>
      </w:tr>
      <w:tr w:rsidR="00743DA6">
        <w:trPr>
          <w:trHeight w:val="78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Implementación de procesos de atención psicosocial en las diferentes modalidades para la población víctima de conflicto armado.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10.252,06</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4.532,50</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11.024,04</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12.118,14</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w:t>
            </w:r>
            <w:r>
              <w:rPr>
                <w:sz w:val="18"/>
                <w:szCs w:val="18"/>
              </w:rPr>
              <w:tab/>
              <w:t>1.094,09</w:t>
            </w:r>
          </w:p>
        </w:tc>
      </w:tr>
      <w:tr w:rsidR="00743DA6">
        <w:trPr>
          <w:trHeight w:val="650"/>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Fortalecimiento para el acceso a los servicios de salud con calidad en la población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12.711,41</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9.109,48</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18.798,24</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19.158,95</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360,70</w:t>
            </w:r>
          </w:p>
        </w:tc>
      </w:tr>
      <w:tr w:rsidR="00743DA6">
        <w:trPr>
          <w:trHeight w:val="650"/>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Servicio Integral y Buen Gobierno para ciudadanías dignificadas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w:t>
            </w:r>
            <w:r>
              <w:rPr>
                <w:sz w:val="18"/>
                <w:szCs w:val="18"/>
              </w:rPr>
              <w:tab/>
              <w:t>6.518,47</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3.590,86</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8.836,29</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8.881,37</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45,08</w:t>
            </w:r>
          </w:p>
        </w:tc>
      </w:tr>
      <w:tr w:rsidR="00743DA6">
        <w:trPr>
          <w:trHeight w:val="470"/>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Implementación de Salud Digital para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w:t>
            </w:r>
            <w:r>
              <w:rPr>
                <w:sz w:val="18"/>
                <w:szCs w:val="18"/>
              </w:rPr>
              <w:tab/>
              <w:t>8.462,11</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5.656,34</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15.594,20</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9.994,06</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w:t>
            </w:r>
            <w:r>
              <w:rPr>
                <w:sz w:val="18"/>
                <w:szCs w:val="18"/>
              </w:rPr>
              <w:tab/>
              <w:t xml:space="preserve">  5.600,13</w:t>
            </w:r>
          </w:p>
        </w:tc>
      </w:tr>
      <w:tr w:rsidR="00743DA6">
        <w:trPr>
          <w:trHeight w:val="69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Implementación del Modelo de salud centrado en atención primaria social para el bienestar de la población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65.300,07</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42.217,20</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83.951,09</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77.886,38</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w:t>
            </w:r>
            <w:r>
              <w:rPr>
                <w:sz w:val="18"/>
                <w:szCs w:val="18"/>
              </w:rPr>
              <w:tab/>
              <w:t>6.064,71</w:t>
            </w:r>
          </w:p>
        </w:tc>
      </w:tr>
      <w:tr w:rsidR="00743DA6">
        <w:trPr>
          <w:trHeight w:val="69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Actualización e implementación de la arquitectura empresarial y modernización de la infraestructura tecnológica en la Secretaria Distrital de Salud. Bogotá D.C.</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13.301,42</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10.666,61</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60.777,63</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42.658,66</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pPr>
              <w:rPr>
                <w:color w:val="FF0000"/>
              </w:rPr>
            </w:pPr>
            <w:r>
              <w:rPr>
                <w:color w:val="FF0000"/>
                <w:sz w:val="18"/>
                <w:szCs w:val="18"/>
              </w:rPr>
              <w:t xml:space="preserve">-$         </w:t>
            </w:r>
            <w:r>
              <w:rPr>
                <w:color w:val="FF0000"/>
                <w:sz w:val="18"/>
                <w:szCs w:val="18"/>
              </w:rPr>
              <w:tab/>
              <w:t xml:space="preserve">   18.118,98</w:t>
            </w:r>
          </w:p>
        </w:tc>
      </w:tr>
      <w:tr w:rsidR="00743DA6">
        <w:trPr>
          <w:trHeight w:val="935"/>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Construcción y mejora de la capacidad instalada UMHES Cll 80 para fortalecer servicios de salud integral implementando la central de Emerg y Urg al gran parque hospitalario de Engativá ¿ APP ENGATIVA</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w:t>
            </w:r>
            <w:r>
              <w:rPr>
                <w:sz w:val="18"/>
                <w:szCs w:val="18"/>
              </w:rPr>
              <w:tab/>
              <w:t xml:space="preserve">-  </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w:t>
            </w:r>
            <w:r>
              <w:rPr>
                <w:sz w:val="18"/>
                <w:szCs w:val="18"/>
              </w:rPr>
              <w:tab/>
              <w:t xml:space="preserve">-  </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27.497,08</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w:t>
            </w:r>
            <w:r>
              <w:rPr>
                <w:sz w:val="18"/>
                <w:szCs w:val="18"/>
              </w:rPr>
              <w:tab/>
              <w:t xml:space="preserve">-  </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pPr>
              <w:rPr>
                <w:color w:val="FF0000"/>
              </w:rPr>
            </w:pPr>
            <w:r>
              <w:rPr>
                <w:color w:val="FF0000"/>
                <w:sz w:val="18"/>
                <w:szCs w:val="18"/>
              </w:rPr>
              <w:t xml:space="preserve">-$ </w:t>
            </w:r>
            <w:r>
              <w:rPr>
                <w:sz w:val="18"/>
                <w:szCs w:val="18"/>
              </w:rPr>
              <w:t xml:space="preserve">        </w:t>
            </w:r>
            <w:r>
              <w:rPr>
                <w:sz w:val="18"/>
                <w:szCs w:val="18"/>
              </w:rPr>
              <w:tab/>
              <w:t xml:space="preserve">  </w:t>
            </w:r>
            <w:r>
              <w:rPr>
                <w:color w:val="FF0000"/>
                <w:sz w:val="18"/>
                <w:szCs w:val="18"/>
              </w:rPr>
              <w:t xml:space="preserve"> 27.497,08</w:t>
            </w:r>
          </w:p>
        </w:tc>
      </w:tr>
      <w:tr w:rsidR="00743DA6">
        <w:trPr>
          <w:trHeight w:val="470"/>
        </w:trPr>
        <w:tc>
          <w:tcPr>
            <w:tcW w:w="2010" w:type="dxa"/>
            <w:tcBorders>
              <w:top w:val="single" w:sz="5" w:space="0" w:color="000000"/>
              <w:left w:val="single" w:sz="5" w:space="0" w:color="000000"/>
              <w:bottom w:val="single" w:sz="5" w:space="0" w:color="000000"/>
              <w:right w:val="single" w:sz="5" w:space="0" w:color="000000"/>
            </w:tcBorders>
            <w:tcMar>
              <w:top w:w="0" w:type="dxa"/>
              <w:left w:w="0" w:type="dxa"/>
              <w:bottom w:w="0" w:type="dxa"/>
              <w:right w:w="0" w:type="dxa"/>
            </w:tcMar>
          </w:tcPr>
          <w:p w:rsidR="00743DA6" w:rsidRDefault="00D95D19">
            <w:r>
              <w:rPr>
                <w:b/>
                <w:bCs/>
                <w:sz w:val="18"/>
                <w:szCs w:val="18"/>
              </w:rPr>
              <w:t>Fortalecimiento de la infraestructura y dotación del sector salud Bogotá</w:t>
            </w:r>
          </w:p>
        </w:tc>
        <w:tc>
          <w:tcPr>
            <w:tcW w:w="171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160.163,15</w:t>
            </w:r>
          </w:p>
        </w:tc>
        <w:tc>
          <w:tcPr>
            <w:tcW w:w="138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113.692,05</w:t>
            </w:r>
          </w:p>
        </w:tc>
        <w:tc>
          <w:tcPr>
            <w:tcW w:w="132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374.539,97</w:t>
            </w:r>
          </w:p>
        </w:tc>
        <w:tc>
          <w:tcPr>
            <w:tcW w:w="1350"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r>
              <w:rPr>
                <w:sz w:val="18"/>
                <w:szCs w:val="18"/>
              </w:rPr>
              <w:t xml:space="preserve"> $     342.909,52</w:t>
            </w:r>
          </w:p>
        </w:tc>
        <w:tc>
          <w:tcPr>
            <w:tcW w:w="1695" w:type="dxa"/>
            <w:tcBorders>
              <w:top w:val="single" w:sz="5" w:space="0" w:color="000000"/>
              <w:left w:val="single" w:sz="5" w:space="0" w:color="000000"/>
              <w:bottom w:val="single" w:sz="5" w:space="0" w:color="000000"/>
              <w:right w:val="single" w:sz="5" w:space="0" w:color="000000"/>
            </w:tcBorders>
            <w:tcMar>
              <w:top w:w="-510" w:type="dxa"/>
              <w:left w:w="-510" w:type="dxa"/>
              <w:bottom w:w="-510" w:type="dxa"/>
              <w:right w:w="-510" w:type="dxa"/>
            </w:tcMar>
          </w:tcPr>
          <w:p w:rsidR="00743DA6" w:rsidRDefault="00D95D19">
            <w:pPr>
              <w:rPr>
                <w:color w:val="FF0000"/>
              </w:rPr>
            </w:pPr>
            <w:r>
              <w:rPr>
                <w:color w:val="FF0000"/>
                <w:sz w:val="18"/>
                <w:szCs w:val="18"/>
              </w:rPr>
              <w:t xml:space="preserve">-$         </w:t>
            </w:r>
            <w:r>
              <w:rPr>
                <w:color w:val="FF0000"/>
                <w:sz w:val="18"/>
                <w:szCs w:val="18"/>
              </w:rPr>
              <w:tab/>
              <w:t xml:space="preserve">   31.630,45</w:t>
            </w:r>
          </w:p>
        </w:tc>
      </w:tr>
      <w:tr w:rsidR="00743DA6">
        <w:trPr>
          <w:trHeight w:val="470"/>
        </w:trPr>
        <w:tc>
          <w:tcPr>
            <w:tcW w:w="2010" w:type="dxa"/>
            <w:tcBorders>
              <w:top w:val="single" w:sz="5" w:space="0" w:color="000000"/>
              <w:left w:val="single" w:sz="5" w:space="0" w:color="000000"/>
              <w:bottom w:val="single" w:sz="5" w:space="0" w:color="000000"/>
              <w:right w:val="single" w:sz="5" w:space="0" w:color="000000"/>
            </w:tcBorders>
            <w:shd w:val="clear" w:color="auto" w:fill="DDEBF7"/>
            <w:tcMar>
              <w:top w:w="0" w:type="dxa"/>
              <w:left w:w="0" w:type="dxa"/>
              <w:bottom w:w="0" w:type="dxa"/>
              <w:right w:w="0" w:type="dxa"/>
            </w:tcMar>
          </w:tcPr>
          <w:p w:rsidR="00743DA6" w:rsidRDefault="00D95D19">
            <w:r>
              <w:rPr>
                <w:b/>
                <w:bCs/>
                <w:sz w:val="18"/>
                <w:szCs w:val="18"/>
              </w:rPr>
              <w:t>Total general</w:t>
            </w:r>
          </w:p>
        </w:tc>
        <w:tc>
          <w:tcPr>
            <w:tcW w:w="1710" w:type="dxa"/>
            <w:tcBorders>
              <w:top w:val="single" w:sz="5" w:space="0" w:color="000000"/>
              <w:left w:val="single" w:sz="5" w:space="0" w:color="000000"/>
              <w:bottom w:val="single" w:sz="5" w:space="0" w:color="000000"/>
              <w:right w:val="single" w:sz="5" w:space="0" w:color="000000"/>
            </w:tcBorders>
            <w:shd w:val="clear" w:color="auto" w:fill="DDEBF7"/>
            <w:tcMar>
              <w:top w:w="-510" w:type="dxa"/>
              <w:left w:w="-510" w:type="dxa"/>
              <w:bottom w:w="-510" w:type="dxa"/>
              <w:right w:w="-510" w:type="dxa"/>
            </w:tcMar>
          </w:tcPr>
          <w:p w:rsidR="00743DA6" w:rsidRDefault="00D95D19">
            <w:r>
              <w:rPr>
                <w:sz w:val="18"/>
                <w:szCs w:val="18"/>
              </w:rPr>
              <w:t xml:space="preserve"> $         3.223.750,67</w:t>
            </w:r>
          </w:p>
        </w:tc>
        <w:tc>
          <w:tcPr>
            <w:tcW w:w="1380" w:type="dxa"/>
            <w:tcBorders>
              <w:top w:val="single" w:sz="5" w:space="0" w:color="000000"/>
              <w:left w:val="single" w:sz="5" w:space="0" w:color="000000"/>
              <w:bottom w:val="single" w:sz="5" w:space="0" w:color="000000"/>
              <w:right w:val="single" w:sz="5" w:space="0" w:color="000000"/>
            </w:tcBorders>
            <w:shd w:val="clear" w:color="auto" w:fill="DDEBF7"/>
            <w:tcMar>
              <w:top w:w="-510" w:type="dxa"/>
              <w:left w:w="-510" w:type="dxa"/>
              <w:bottom w:w="-510" w:type="dxa"/>
              <w:right w:w="-510" w:type="dxa"/>
            </w:tcMar>
          </w:tcPr>
          <w:p w:rsidR="00743DA6" w:rsidRDefault="00D95D19">
            <w:r>
              <w:rPr>
                <w:sz w:val="18"/>
                <w:szCs w:val="18"/>
              </w:rPr>
              <w:t xml:space="preserve"> $  2.884.192,88</w:t>
            </w:r>
          </w:p>
        </w:tc>
        <w:tc>
          <w:tcPr>
            <w:tcW w:w="1320" w:type="dxa"/>
            <w:tcBorders>
              <w:top w:val="single" w:sz="5" w:space="0" w:color="000000"/>
              <w:left w:val="single" w:sz="5" w:space="0" w:color="000000"/>
              <w:bottom w:val="single" w:sz="5" w:space="0" w:color="000000"/>
              <w:right w:val="single" w:sz="5" w:space="0" w:color="000000"/>
            </w:tcBorders>
            <w:shd w:val="clear" w:color="auto" w:fill="DDEBF7"/>
            <w:tcMar>
              <w:top w:w="-510" w:type="dxa"/>
              <w:left w:w="-510" w:type="dxa"/>
              <w:bottom w:w="-510" w:type="dxa"/>
              <w:right w:w="-510" w:type="dxa"/>
            </w:tcMar>
          </w:tcPr>
          <w:p w:rsidR="00743DA6" w:rsidRDefault="00D95D19">
            <w:r>
              <w:rPr>
                <w:sz w:val="18"/>
                <w:szCs w:val="18"/>
              </w:rPr>
              <w:t xml:space="preserve"> $  4.853.941,77</w:t>
            </w:r>
          </w:p>
        </w:tc>
        <w:tc>
          <w:tcPr>
            <w:tcW w:w="1350" w:type="dxa"/>
            <w:tcBorders>
              <w:top w:val="single" w:sz="5" w:space="0" w:color="000000"/>
              <w:left w:val="single" w:sz="5" w:space="0" w:color="000000"/>
              <w:bottom w:val="single" w:sz="5" w:space="0" w:color="000000"/>
              <w:right w:val="single" w:sz="5" w:space="0" w:color="000000"/>
            </w:tcBorders>
            <w:shd w:val="clear" w:color="auto" w:fill="DDEBF7"/>
            <w:tcMar>
              <w:top w:w="-510" w:type="dxa"/>
              <w:left w:w="-510" w:type="dxa"/>
              <w:bottom w:w="-510" w:type="dxa"/>
              <w:right w:w="-510" w:type="dxa"/>
            </w:tcMar>
          </w:tcPr>
          <w:p w:rsidR="00743DA6" w:rsidRDefault="00D95D19">
            <w:r>
              <w:rPr>
                <w:sz w:val="18"/>
                <w:szCs w:val="18"/>
              </w:rPr>
              <w:t xml:space="preserve"> $  5.113.878,52</w:t>
            </w:r>
          </w:p>
        </w:tc>
        <w:tc>
          <w:tcPr>
            <w:tcW w:w="1695" w:type="dxa"/>
            <w:tcBorders>
              <w:top w:val="single" w:sz="5" w:space="0" w:color="000000"/>
              <w:left w:val="single" w:sz="5" w:space="0" w:color="000000"/>
              <w:bottom w:val="single" w:sz="5" w:space="0" w:color="000000"/>
              <w:right w:val="single" w:sz="5" w:space="0" w:color="000000"/>
            </w:tcBorders>
            <w:shd w:val="clear" w:color="auto" w:fill="DDEBF7"/>
            <w:tcMar>
              <w:top w:w="-510" w:type="dxa"/>
              <w:left w:w="-510" w:type="dxa"/>
              <w:bottom w:w="-510" w:type="dxa"/>
              <w:right w:w="-510" w:type="dxa"/>
            </w:tcMar>
          </w:tcPr>
          <w:p w:rsidR="00743DA6" w:rsidRDefault="00D95D19">
            <w:r>
              <w:rPr>
                <w:sz w:val="18"/>
                <w:szCs w:val="18"/>
              </w:rPr>
              <w:t xml:space="preserve"> $           259.936,74</w:t>
            </w:r>
          </w:p>
        </w:tc>
      </w:tr>
    </w:tbl>
    <w:p w:rsidR="00743DA6" w:rsidRDefault="00743DA6">
      <w:pPr>
        <w:jc w:val="center"/>
        <w:rPr>
          <w:sz w:val="18"/>
          <w:szCs w:val="18"/>
        </w:rPr>
      </w:pPr>
    </w:p>
    <w:p w:rsidR="00743DA6" w:rsidRDefault="00D95D19">
      <w:pPr>
        <w:jc w:val="center"/>
        <w:rPr>
          <w:sz w:val="22"/>
          <w:szCs w:val="22"/>
        </w:rPr>
      </w:pPr>
      <w:r>
        <w:rPr>
          <w:sz w:val="18"/>
          <w:szCs w:val="18"/>
        </w:rPr>
        <w:t>Fuente: Elaboración propia (2025) con base en la información suministrada por SDH (2025)</w:t>
      </w:r>
    </w:p>
    <w:p w:rsidR="00743DA6" w:rsidRDefault="00D95D19">
      <w:pPr>
        <w:pStyle w:val="Ttulo1"/>
        <w:keepNext w:val="0"/>
        <w:spacing w:before="480" w:after="120"/>
        <w:jc w:val="both"/>
        <w:rPr>
          <w:rFonts w:ascii="Arial" w:eastAsia="Arial" w:hAnsi="Arial" w:cs="Arial"/>
          <w:b/>
          <w:bCs/>
          <w:sz w:val="22"/>
          <w:szCs w:val="22"/>
        </w:rPr>
      </w:pPr>
      <w:bookmarkStart w:id="39" w:name="_heading=h.3y0pfmv4qkx0" w:colFirst="0" w:colLast="0"/>
      <w:bookmarkEnd w:id="39"/>
      <w:r>
        <w:rPr>
          <w:rFonts w:ascii="Arial" w:eastAsia="Arial" w:hAnsi="Arial" w:cs="Arial"/>
          <w:b/>
          <w:bCs/>
          <w:sz w:val="22"/>
          <w:szCs w:val="22"/>
        </w:rPr>
        <w:t>Actualización e implementación de la arquitectura empresarial y modernización de la infraestructura tecnológica de la Secretaría Distrital de Salud</w:t>
      </w:r>
    </w:p>
    <w:p w:rsidR="00743DA6" w:rsidRDefault="00D95D19">
      <w:pPr>
        <w:spacing w:before="240" w:after="240"/>
        <w:jc w:val="both"/>
        <w:rPr>
          <w:sz w:val="22"/>
          <w:szCs w:val="22"/>
        </w:rPr>
      </w:pPr>
      <w:r>
        <w:rPr>
          <w:sz w:val="22"/>
          <w:szCs w:val="22"/>
        </w:rPr>
        <w:t>Pese a que en 2025 se programaron $60.777 millones para la modernización tecnológica y la arquitectura empresarial de la SDS, la ejecución real muestra una situación preocupante, con corte a octubre solo se comprometieron $13.301 millones y se giraron únicamente $10.666 millones. Esto significa que más del 82 % del presupuesto 2025 con corte a octubre está sin ejecutar, evidenciando una brecha crítica entre la planeación y la capacidad real de ejecución de la entidad. La SDS programó una transformación tecnológica ambiciosa, pero los niveles de compromiso y giro revelan una ejecución mínima que pone en entredicho la efectividad de la estrategia y la capacidad institucional para avanzar en interoperabilidad, seguridad digital, historia clínica electrónica y modernización de plataformas.</w:t>
      </w:r>
    </w:p>
    <w:p w:rsidR="00743DA6" w:rsidRDefault="00D95D19">
      <w:pPr>
        <w:spacing w:before="240" w:after="240"/>
        <w:jc w:val="both"/>
        <w:rPr>
          <w:sz w:val="22"/>
          <w:szCs w:val="22"/>
        </w:rPr>
      </w:pPr>
      <w:r>
        <w:rPr>
          <w:sz w:val="22"/>
          <w:szCs w:val="22"/>
        </w:rPr>
        <w:t>Para 2026, la situación se agudiza, el nuevo presupuesto programado cae a $42.658 millones, lo que representa una reducción de –$18.118 millones (–30 %) frente a lo formulado en 2025. En lugar de corregir las debilidades evidenciadas por la baja ejecución, se opta por recortar aún más los recursos destinados a la transformación tecnológica, a pesar de ser un componente esencial para la rectoría, vigilancia sanitaria, analítica de datos y operación integral del sistema de salud. Este comportamiento presupuestal, baja ejecución en 2025 y reducción drástica para 2026, constituye una alerta grave que debe revisar el Concejo, la Secretaría no solo ejecuta poco, sino que pierde recursos estratégicos, afectando directamente la capacidad del sector para modernizarse y responder a los desafíos actuales del sistema de salud de Bogotá.</w:t>
      </w:r>
    </w:p>
    <w:p w:rsidR="00743DA6" w:rsidRDefault="00D95D19">
      <w:pPr>
        <w:jc w:val="both"/>
        <w:rPr>
          <w:sz w:val="22"/>
          <w:szCs w:val="22"/>
        </w:rPr>
      </w:pPr>
      <w:r>
        <w:rPr>
          <w:b/>
          <w:bCs/>
          <w:sz w:val="22"/>
          <w:szCs w:val="22"/>
        </w:rPr>
        <w:t>Construcción y mejora de la capacidad instalada UMHES Cll 80 para fortalecer servicios de salud integral implementando la central de Emerg y Urg al gran parque hospitalario de Engativá ¿ APP ENGATIVA</w:t>
      </w:r>
    </w:p>
    <w:p w:rsidR="00743DA6" w:rsidRDefault="00D95D19">
      <w:pPr>
        <w:spacing w:before="240" w:after="240"/>
        <w:jc w:val="both"/>
        <w:rPr>
          <w:sz w:val="22"/>
          <w:szCs w:val="22"/>
        </w:rPr>
      </w:pPr>
      <w:r>
        <w:rPr>
          <w:sz w:val="22"/>
          <w:szCs w:val="22"/>
        </w:rPr>
        <w:t>A pesar de que en 2025 la Administración programó $27.497 millones para la construcción, mejora y adecuación de la capacidad instalada en Engativá, incluyendo las obras de urgencias, emergencias y compromisos asociados a la APP, los registros muestran que no se comprometió un solo peso y no se giró absolutamente nada. Es decir, 0 % de ejecución en un proyecto que la propia Alcaldía presenta como prioritario y estratégico para el occidente de Bogotá. Esta ausencia total de compromisos y giros no puede ser explicada como una simple demora, es una evidencia clara de falta de gestión, falta de dirección y falta de voluntad política para sacar adelante un proyecto que lleva años aplazado y que afecta directamente el acceso oportuno a servicios de salud en Engativá, una de las zonas con mayor presión de demanda en la ciudad.</w:t>
      </w:r>
    </w:p>
    <w:p w:rsidR="00743DA6" w:rsidRDefault="00D95D19">
      <w:pPr>
        <w:spacing w:before="240" w:after="240"/>
        <w:jc w:val="both"/>
        <w:rPr>
          <w:sz w:val="22"/>
          <w:szCs w:val="22"/>
        </w:rPr>
      </w:pPr>
      <w:r>
        <w:rPr>
          <w:sz w:val="22"/>
          <w:szCs w:val="22"/>
        </w:rPr>
        <w:t>Lo más grave es que para 2026 el rubro desaparece por completo, el presupuesto programado pasa de $27.497 millones a cero, una reducción total de $27.497 millones (–100 %). La Administración no solo dejó de ejecutar lo que ella misma formuló en 2025, sino que eliminó el presupuesto en 2026, condenando al proyecto a una nueva parálisis. Esta decisión contradice el discurso oficial de priorizar la infraestructura y la modernización del sistema hospitalario. Es una señal política inequívoca, Engativá no está siendo tratada como prioridad real. Y es una señal administrativa preocupante, la falta de ejecución en 2025 es seguida por una eliminación en 2026, dejando en evidencia un manejo presupuestal inconsistente, regresivo y contrario al interés público de ampliar la capacidad hospitalaria en Bogotá.</w:t>
      </w:r>
    </w:p>
    <w:p w:rsidR="00743DA6" w:rsidRDefault="00D95D19">
      <w:pPr>
        <w:spacing w:before="240" w:after="240"/>
        <w:jc w:val="both"/>
        <w:rPr>
          <w:b/>
          <w:bCs/>
          <w:sz w:val="22"/>
          <w:szCs w:val="22"/>
        </w:rPr>
      </w:pPr>
      <w:r>
        <w:rPr>
          <w:b/>
          <w:bCs/>
          <w:sz w:val="22"/>
          <w:szCs w:val="22"/>
        </w:rPr>
        <w:t>Fortalecimiento de la Gobernanza y Gobernabilidad de la Salud Pública en el marco de la Atención Primaria Social.</w:t>
      </w:r>
    </w:p>
    <w:p w:rsidR="00743DA6" w:rsidRDefault="00D95D19">
      <w:pPr>
        <w:spacing w:before="240" w:after="240"/>
        <w:jc w:val="both"/>
        <w:rPr>
          <w:sz w:val="22"/>
          <w:szCs w:val="22"/>
        </w:rPr>
      </w:pPr>
      <w:r>
        <w:rPr>
          <w:sz w:val="22"/>
          <w:szCs w:val="22"/>
        </w:rPr>
        <w:t>En el 2025 se programaron $348.683 millones para fortalecer la gobernanza y la gobernabilidad en salud pública, una línea estratégica del Modelo de Atención Primaria Social, los niveles de ejecución son bajos sólo se comprometieron $276.349 millones y se giraron apenas $169.497 millones. Es decir, casi la mitad del presupuesto quedó sin llegar a ejecución efectiva, lo que evidencia una brecha crítica entre lo que la Administración promete y lo que realmente ejecuta. En un proyecto que debería fortalecer la capacidad institucional, los equipos de salud pública y la articulación territorial, esta baja ejecución demuestra debilidad operativa y gestión insuficiente para cumplir con los objetivos del Plan de Desarrollo.</w:t>
      </w:r>
    </w:p>
    <w:p w:rsidR="00743DA6" w:rsidRDefault="00D95D19">
      <w:pPr>
        <w:spacing w:before="240" w:after="240"/>
        <w:jc w:val="both"/>
        <w:rPr>
          <w:sz w:val="22"/>
          <w:szCs w:val="22"/>
        </w:rPr>
      </w:pPr>
      <w:r>
        <w:rPr>
          <w:sz w:val="22"/>
          <w:szCs w:val="22"/>
        </w:rPr>
        <w:t>Para 2026, el presupuesto programado aumenta a $393.508 millones, es decir, $44.824 millones más que en 2025, pero este incremento debe ser analizado con cautela. No puede interpretarse como un fortalecimiento real si en 2025 la entidad no fue capaz de ejecutar los recursos asignados. Existe el riesgo de que se repita el mismo patrón: presupuestos crecientes con ejecuciones decrecientes. La ciudad necesita gobernanza en salud pública, sí, pero necesita una gobernanza efectiva, ejecutada, que llegue al territorio y mejore la capacidad institucional. Aumentar recursos sin mejorar la ejecución sólo agrava la distancia entre la planeación y la realidad, debilitando la credibilidad del sector y comprometiendo la respuesta de Bogotá frente a emergencias sanitarias, vigilancia epidemiológica y gestión territorial de la salud.</w:t>
      </w:r>
    </w:p>
    <w:p w:rsidR="00743DA6" w:rsidRDefault="00D95D19">
      <w:pPr>
        <w:spacing w:before="240" w:after="240"/>
        <w:jc w:val="both"/>
        <w:rPr>
          <w:sz w:val="22"/>
          <w:szCs w:val="22"/>
        </w:rPr>
      </w:pPr>
      <w:r>
        <w:rPr>
          <w:sz w:val="22"/>
          <w:szCs w:val="22"/>
        </w:rPr>
        <w:t>Respecto de la meta</w:t>
      </w:r>
      <w:r>
        <w:rPr>
          <w:i/>
          <w:iCs/>
          <w:sz w:val="22"/>
          <w:szCs w:val="22"/>
        </w:rPr>
        <w:t xml:space="preserve"> “Definir implementar y poner en funcionamiento 1 Instancia(s) de gobernanza y gobernabilidad en salud pública y Atención Primaria Social que intervenga los determinantes sociales de inequidades en salud en el territorio”</w:t>
      </w:r>
      <w:r>
        <w:rPr>
          <w:sz w:val="22"/>
          <w:szCs w:val="22"/>
        </w:rPr>
        <w:t xml:space="preserve"> que cuenta con una actividad para su ejecución </w:t>
      </w:r>
      <w:r>
        <w:rPr>
          <w:i/>
          <w:iCs/>
          <w:sz w:val="22"/>
          <w:szCs w:val="22"/>
        </w:rPr>
        <w:t>“Definir e implementar 100 Porciento de una instancia de gobernanza y gobernabilidad en salud pública y Atención Primaria Social que intervenga los determinantes sociales de las desigualdades en salud”</w:t>
      </w:r>
      <w:r>
        <w:rPr>
          <w:sz w:val="22"/>
          <w:szCs w:val="22"/>
        </w:rPr>
        <w:t xml:space="preserve"> se puede establecer que en 2025, esta meta tuvo apenas $309 millones programados y no ejecutó ni un solo peso: cero compromisos y cero giros. Sin embargo, para 2026 el presupuesto salta abruptamente a $57.444 millones, un incremento de más de $57.134 millones, sin resultados previos que lo sustenten. ¿Cómo puede justificarse que una meta sin ejecución en 2025 reciba uno de los mayores aumentos del proyecto en 2026? Esto revela una grave inconsistencia en la planeación y exige explicaciones claras sobre la capacidad real de la SDS para ejecutar recursos y cumplir los objetivos de gobernanza en salud pública.</w:t>
      </w:r>
    </w:p>
    <w:p w:rsidR="00743DA6" w:rsidRDefault="00D95D19">
      <w:pPr>
        <w:spacing w:before="240" w:after="240"/>
        <w:jc w:val="both"/>
        <w:rPr>
          <w:i/>
          <w:iCs/>
          <w:sz w:val="22"/>
          <w:szCs w:val="22"/>
        </w:rPr>
      </w:pPr>
      <w:r>
        <w:rPr>
          <w:sz w:val="22"/>
          <w:szCs w:val="22"/>
        </w:rPr>
        <w:t>Con relación a la meta</w:t>
      </w:r>
      <w:r>
        <w:rPr>
          <w:i/>
          <w:iCs/>
          <w:sz w:val="22"/>
          <w:szCs w:val="22"/>
        </w:rPr>
        <w:t xml:space="preserve"> “Gestionar e implementar 1 Plan(es) integral de respuesta para la desvinculación del trabajo infantil del 100% de los niños niñas y adolescentes (NNA) identificados desde el sector salud”</w:t>
      </w:r>
      <w:r>
        <w:rPr>
          <w:i/>
          <w:iCs/>
          <w:sz w:val="22"/>
          <w:szCs w:val="22"/>
        </w:rPr>
        <w:tab/>
      </w:r>
      <w:r>
        <w:rPr>
          <w:sz w:val="22"/>
          <w:szCs w:val="22"/>
        </w:rPr>
        <w:t>y sus dos actividades asociada, “</w:t>
      </w:r>
      <w:r>
        <w:rPr>
          <w:i/>
          <w:iCs/>
          <w:sz w:val="22"/>
          <w:szCs w:val="22"/>
        </w:rPr>
        <w:t xml:space="preserve">Implementar el 100 Porciento del plan integral de respuesta para la desvinculación del trabajo infantil, de los niños niñas y adolescentes (NNA) identificados desde el sector salud” </w:t>
      </w:r>
      <w:r>
        <w:rPr>
          <w:sz w:val="22"/>
          <w:szCs w:val="22"/>
        </w:rPr>
        <w:t>y</w:t>
      </w:r>
      <w:r>
        <w:rPr>
          <w:i/>
          <w:iCs/>
          <w:sz w:val="22"/>
          <w:szCs w:val="22"/>
        </w:rPr>
        <w:t xml:space="preserve"> “Lograr que el 60 Porciento de los trabajadores de la economía popular en actividades de auto subsistencia promueven la promoción del cuidado y el bienestar de la salud en el trabajo”.</w:t>
      </w:r>
    </w:p>
    <w:p w:rsidR="00743DA6" w:rsidRDefault="00D95D19">
      <w:pPr>
        <w:spacing w:before="240" w:after="240"/>
        <w:jc w:val="both"/>
        <w:rPr>
          <w:sz w:val="22"/>
          <w:szCs w:val="22"/>
        </w:rPr>
      </w:pPr>
      <w:r>
        <w:rPr>
          <w:sz w:val="22"/>
          <w:szCs w:val="22"/>
        </w:rPr>
        <w:t>Aunque en 2025 se programaron $5.107 millones para gestionar e implementar el plan integral de respuesta para la desvinculación del trabajo infantil, la ejecución real ha sido si se quiere insuficiente, con corte a octubre solo se comprometieron $4.218 millones y apenas se giraron $3.129 millones. Aun cuando estos recursos ya resultan limitados para atender una población altamente vulnerable, el presupuesto programado para 2026 se reduce a $5.027 millones, una disminución frente a lo inicialmente formulado. Más preocupante aún, las sub-metas o actividades muestran recortes similares, en el caso del plan integral para erradicar trabajo infantil, el aumento efectivo es de solo $4 millones, mientras que para la intervención con trabajadores de la economía popular el presupuesto cae en $84 millones. Esta reducción, por pequeña que parezca, implica menos territorios atendidos, menos equipos de campo y menos capacidad institucional para proteger a niñas, niños y adolescentes expuestos a explotación laboral.</w:t>
      </w:r>
    </w:p>
    <w:p w:rsidR="00743DA6" w:rsidRDefault="00D95D19">
      <w:pPr>
        <w:spacing w:before="240" w:after="240"/>
        <w:jc w:val="both"/>
        <w:rPr>
          <w:sz w:val="22"/>
          <w:szCs w:val="22"/>
        </w:rPr>
      </w:pPr>
      <w:r>
        <w:rPr>
          <w:sz w:val="22"/>
          <w:szCs w:val="22"/>
        </w:rPr>
        <w:t>La reducción de recursos proyectada para 2026 genera preocupación, especialmente tratándose de un proyecto dirigido a niñas, niños y adolescentes en riesgo, así como a trabajadores informales expuestos a condiciones de vulnerabilidad. A lo largo de 2025, los registros muestran que únicamente entre el 60 % y el 70 % del presupuesto comprometido se transformó en giros efectivos, lo cual evidencia brechas operativas que aún no se superan. Aun así, la propuesta para 2026 contempla una disminución de recursos, a pesar de que las necesidades de intervención permanecen abiertas y los marcos normativos exigen una protección reforzada para estas poblaciones. Bajo este escenario, una reducción presupuestal implica un alcance menor en acciones de prevención, acompañamiento y atención integral, justo en componentes que resultan determinantes para la superación del trabajo infantil y la mejora de las condiciones de salud en la economía popular. Este ajuste, en consecuencia, limita la capacidad institucional para responder de manera oportuna y suficiente a los desafíos que enfrenta esta población prioritaria.</w:t>
      </w:r>
    </w:p>
    <w:p w:rsidR="00743DA6" w:rsidRDefault="00D95D19">
      <w:pPr>
        <w:spacing w:before="240" w:after="240"/>
        <w:jc w:val="both"/>
        <w:rPr>
          <w:sz w:val="22"/>
          <w:szCs w:val="22"/>
        </w:rPr>
      </w:pPr>
      <w:r>
        <w:rPr>
          <w:sz w:val="22"/>
          <w:szCs w:val="22"/>
        </w:rPr>
        <w:t>Con relación a la meta “</w:t>
      </w:r>
      <w:r>
        <w:rPr>
          <w:i/>
          <w:iCs/>
          <w:sz w:val="22"/>
          <w:szCs w:val="22"/>
        </w:rPr>
        <w:t xml:space="preserve">Implementar 1 Red(es) intersectorial y comunitaria de salud ambiental por localidad” </w:t>
      </w:r>
      <w:r>
        <w:rPr>
          <w:sz w:val="22"/>
          <w:szCs w:val="22"/>
        </w:rPr>
        <w:t>y sus actividades asociadas,</w:t>
      </w:r>
      <w:r>
        <w:rPr>
          <w:i/>
          <w:iCs/>
          <w:sz w:val="22"/>
          <w:szCs w:val="22"/>
        </w:rPr>
        <w:t xml:space="preserve"> </w:t>
      </w:r>
      <w:r>
        <w:rPr>
          <w:sz w:val="22"/>
          <w:szCs w:val="22"/>
        </w:rPr>
        <w:t>en 2025, la administración programó $81.286 millones para implementar la Red Intersectorial y Comunitaria de Salud Ambiental por localidad, pero solo logró con corte a octubre comprometer $64.264 millones y girar $46.984 millones, dejando sin rezagada parte sustancial de un proyecto esencial para la prevención de riesgos ambientales, zoonóticos y sanitarios en Bogotá. A pesar de esta baja ejecución, que ya revela debilidades de gestión, en 2026 el presupuesto se reduce a $74.771 millones, recortando recursos estratégicos en áreas críticas, las redes comunitarias pierden $2.826 millones, la gestión integral de zoonosis disminuye en $604 millones, y las acciones de inspección, vigilancia y control se reducen en $3.208 millones, justo cuando la ciudad enfrenta crecientes desafíos por calidad del aire, establecimientos que requieren control y riesgos ambientales en expansión. La decisión de disminuir estos recursos, cuando los giros de 2025 con corte a octubre no alcanzaron ni el 60 % de lo programado, envía un mensaje preocupante,la salud ambiental, la prevención y la respuesta territorial no son prioridad real en la formulación presupuestal, pese a que son fundamentales para proteger la vida y la salud de los bogotanos.</w:t>
      </w:r>
    </w:p>
    <w:p w:rsidR="00743DA6" w:rsidRDefault="00D95D19">
      <w:pPr>
        <w:spacing w:before="240" w:after="240"/>
        <w:jc w:val="both"/>
        <w:rPr>
          <w:sz w:val="22"/>
          <w:szCs w:val="22"/>
        </w:rPr>
      </w:pPr>
      <w:r>
        <w:rPr>
          <w:sz w:val="22"/>
          <w:szCs w:val="22"/>
        </w:rPr>
        <w:t>En relación con la meta “</w:t>
      </w:r>
      <w:r>
        <w:rPr>
          <w:i/>
          <w:iCs/>
          <w:sz w:val="22"/>
          <w:szCs w:val="22"/>
        </w:rPr>
        <w:t xml:space="preserve">Implementar el 100% de las acciones del plan de acción de la estrategia intersectorial para la prevención del consumo de sustancias psicoactivas y desde un enfoque de reducción de riesgos y daños en la población usuaria, garantizando la participación integral de organizaciones sociales, dispositivos de base comunitaria, asociaciones científicas, universidades y demás actores”. </w:t>
      </w:r>
      <w:r>
        <w:rPr>
          <w:sz w:val="22"/>
          <w:szCs w:val="22"/>
        </w:rPr>
        <w:t>En 2025, la Administración programó $9.417 millones para implementar el plan intersectorial de prevención del consumo de sustancias psicoactivas, con corte a octubre solo ha comprometido $7.532 millones y girado $5.626 millones, dejando sin ejecutar hasta el momento, una parte crucial de un programa que impacta directamente a jóvenes, consumidores y comunidades altamente vulnerables. A pesar de esta ejecución, el presupuesto para 2026 se reduce a $9.219 millones, es decir, $197 millones menos, afectando también a las metas específicas, la estrategia de reducción de riesgos y daños presenta un recorte de $196 millones, y el instrumento de acción pública pierde recursos adicionales. Esta disminución presupuestal es especialmente preocupante cuando el consumo de SPA es una problemática creciente, con presencia en entornos escolares, comerciales, comunitarios y en el espacio público, y requiere una respuesta robusta, sostenida y territorialmente efectiva.</w:t>
      </w:r>
    </w:p>
    <w:p w:rsidR="00743DA6" w:rsidRDefault="00D95D19">
      <w:pPr>
        <w:spacing w:before="240" w:after="240"/>
        <w:jc w:val="both"/>
        <w:rPr>
          <w:sz w:val="22"/>
          <w:szCs w:val="22"/>
        </w:rPr>
      </w:pPr>
      <w:r>
        <w:rPr>
          <w:sz w:val="22"/>
          <w:szCs w:val="22"/>
        </w:rPr>
        <w:t>Reducir recursos en salud pública para enfrentar el consumo de SPA, cuando los giros de 2025 no han alcanzado ni el 60 %, envía un mensaje claro, no se reconoce el consumo problemático como un asunto de salud pública, sino como un tema marginal. Bogotá necesita fortalecer la intervención comunitaria, ampliar los dispositivos de reducción de riesgos, mejorar la articulación con organizaciones sociales y garantizar equipos territoriales permanentes; sin embargo, la reducción presupuestal compromete la capacidad de respuesta y limita el alcance de las acciones en territorios críticos. En lugar de reforzar la estrategia, la administración la debilita, justo cuando más necesita ser fortalecida para proteger la vida y la salud de miles de jóvenes y ciudadanos expuestos a sustancias cada vez más potentes y riesgosas.</w:t>
      </w:r>
    </w:p>
    <w:p w:rsidR="00743DA6" w:rsidRDefault="00D95D19">
      <w:pPr>
        <w:spacing w:before="240" w:after="240"/>
        <w:jc w:val="both"/>
        <w:rPr>
          <w:i/>
          <w:iCs/>
          <w:sz w:val="22"/>
          <w:szCs w:val="22"/>
        </w:rPr>
      </w:pPr>
      <w:r>
        <w:rPr>
          <w:sz w:val="22"/>
          <w:szCs w:val="22"/>
        </w:rPr>
        <w:t xml:space="preserve">Respecto a la meta </w:t>
      </w:r>
      <w:r>
        <w:rPr>
          <w:i/>
          <w:iCs/>
          <w:sz w:val="22"/>
          <w:szCs w:val="22"/>
        </w:rPr>
        <w:t>“Implementar y evaluar 4 Línea(s) de acción de gobernanza y gobernabilidad para el fortalecimiento de la intersectorialidad la gestión de las políticas planes y/o programas y la participación social que afecten positivamente los determinantes en salud en clave de Atención Primaria Social”</w:t>
      </w:r>
    </w:p>
    <w:p w:rsidR="00743DA6" w:rsidRDefault="00D95D19">
      <w:pPr>
        <w:spacing w:before="240" w:after="240"/>
        <w:jc w:val="both"/>
        <w:rPr>
          <w:sz w:val="22"/>
          <w:szCs w:val="22"/>
        </w:rPr>
      </w:pPr>
      <w:r>
        <w:rPr>
          <w:sz w:val="22"/>
          <w:szCs w:val="22"/>
        </w:rPr>
        <w:t>Para 2025 la administración programó $71.104 millones para implementar y evaluar las líneas de acción de gobernanza y participación social, pero solo se comprometieron con corte a octubre $58.149 millones y se giraron $33.938 millones, lo que evidencia una ejecución limitada en un componente que debería ser el corazón del Modelo de Atención Primaria Social. A pesar de esta baja ejecución, en 2026 el presupuesto se reduce a $60.225 millones, es decir, $10.879 millones menos, afectando especialmente la línea de gestión intersectorial, que pierde $1.908 millones, y la línea de políticas y planes en salud pública, que disminuye en $8.992 millones. Esta reducción es particularmente grave porque la participación social y la gestión intersectorial son los mecanismos que permiten que las comunidades influyan en las políticas públicas, que las instituciones trabajen articuladamente y que los determinantes sociales de la salud sean abordados de manera real y no superficial.</w:t>
      </w:r>
    </w:p>
    <w:p w:rsidR="00743DA6" w:rsidRDefault="00D95D19">
      <w:pPr>
        <w:spacing w:before="240" w:after="240"/>
        <w:jc w:val="both"/>
        <w:rPr>
          <w:sz w:val="22"/>
          <w:szCs w:val="22"/>
        </w:rPr>
      </w:pPr>
      <w:r>
        <w:rPr>
          <w:sz w:val="22"/>
          <w:szCs w:val="22"/>
        </w:rPr>
        <w:t>Este recorte presupuestal muestra que mientras la ciudad requiere fortalecer la articulación institucional, la participación social, la gestión territorial y el seguimiento a los determinantes sociales, la administración reduce los recursos que hacen posible estas acciones. Bogotá necesita más, no menos, inversión en participación comunitaria, gobernanza territorial y análisis de desigualdades socioambientales. Sin una participación social fuerte, el Modelo APS Social queda débil, sin intersectorialidad, las políticas no llegan al territorio; y sin recursos suficientes, la ciudadanía pierde herramientas para incidir en las decisiones públicas que afectan su salud. Reducir estos rubros no solo debilita la democracia participativa en salud, sino que limita la capacidad del Distrito para transformar las realidades sociales, ambientales y económicas que determinan la salud de todos los bogotanos.</w:t>
      </w:r>
    </w:p>
    <w:p w:rsidR="00743DA6" w:rsidRDefault="00D95D19">
      <w:pPr>
        <w:spacing w:before="240" w:after="240"/>
        <w:jc w:val="both"/>
        <w:rPr>
          <w:sz w:val="22"/>
          <w:szCs w:val="22"/>
        </w:rPr>
      </w:pPr>
      <w:r>
        <w:rPr>
          <w:sz w:val="22"/>
          <w:szCs w:val="22"/>
        </w:rPr>
        <w:t xml:space="preserve">Con relación a la meta de </w:t>
      </w:r>
      <w:r>
        <w:rPr>
          <w:i/>
          <w:iCs/>
          <w:sz w:val="22"/>
          <w:szCs w:val="22"/>
        </w:rPr>
        <w:t>“Reducir a menos de 130 x 100 mil habitantes la tasa de incidencia de morbilidad por eventos inmunoprevenibles”</w:t>
      </w:r>
      <w:r>
        <w:rPr>
          <w:sz w:val="22"/>
          <w:szCs w:val="22"/>
        </w:rPr>
        <w:t xml:space="preserve">, y sus actividades asociadas, en 2025 la administración distrital programó $31.467 millones para reducir la morbilidad por eventos inmunoprevenibles, un componente esencial para proteger a bebés, niños, niñas, gestantes y personas con enfermedades transmisibles, pero solo tiene comprometido a octubre $24.541 millones y giró $17.475 millones, dejando sin ejecutar hasta el corte, una parte crítica del presupuesto destinado a la vacunación y al control de enfermedades. A pesar de esta baja ejecución, en 2026 el rubro se reduce a $26.808 millones, es decir, $4.658 millones menos, afectando metas vitales, la vigilancia de inmunoprevenibles pierde $750 millones, el fortalecimiento de coberturas de vacunación se reduce en $2.565 millones, y el estudio para evaluar la inclusión de la vacuna contra el virus sincitial, clave para reducir la mortalidad infantil, cae drásticamente de $1.527 millones a solo $118 millones, un recorte de $1.409 millones. Esta disminución evidencia una contradicción profunda entre el discurso de protección a la población de especial protección y la realidad presupuestal, mientras aumentan los riesgos de brotes de enfermedades prevenibles y persisten brechas en cobertura con vacunas, la administración decide debilitar la inversión en salud pública, reduciendo recursos justamente donde más se necesitan para proteger la vida. </w:t>
      </w:r>
    </w:p>
    <w:p w:rsidR="00743DA6" w:rsidRDefault="00D95D19">
      <w:pPr>
        <w:spacing w:before="240" w:after="240"/>
        <w:jc w:val="both"/>
        <w:rPr>
          <w:sz w:val="22"/>
          <w:szCs w:val="22"/>
        </w:rPr>
      </w:pPr>
      <w:r>
        <w:rPr>
          <w:sz w:val="22"/>
          <w:szCs w:val="22"/>
        </w:rPr>
        <w:t xml:space="preserve">Respecto de la meta </w:t>
      </w:r>
      <w:r>
        <w:rPr>
          <w:i/>
          <w:iCs/>
          <w:sz w:val="22"/>
          <w:szCs w:val="22"/>
        </w:rPr>
        <w:t xml:space="preserve">“Reducir al 35,4% la proporción de malnutrición en la población de 5 a 17 años” </w:t>
      </w:r>
      <w:r>
        <w:rPr>
          <w:sz w:val="22"/>
          <w:szCs w:val="22"/>
        </w:rPr>
        <w:t>y sus actividades asociadas, en 2025 la Administración programó $2.913 millones para reducir la malnutrición en niñas, niños y adolescentes entre 5 y 17 años, con corte a octubre comprometió $2.414 millones y giró $1.688 millones, faltando por ejecutar recursos esenciales para enfrentar un problema que afecta directamente el bienestar, el desarrollo y la permanencia escolar de la niñez bogotana. Pesar a una baja ejecución relativamente por la fecha de corte, en 2026 el presupuesto se reduce a $2.632 millones, es decir, $280 millones menos, afectando de manera directa la meta central de reducción de malnutrición, que pierde $137 millones, y las acciones de educación alimentaria y nutricional dirigidas a más de un millón de personas, que sufren un recorte adicional de $143 millones. Resulta preocupante que un proyecto orientado a combatir el hambre, mejorar la nutrición infantil y reducir desigualdades alimentarias sea precisamente uno de los que sufre disminución presupuestal.</w:t>
      </w:r>
    </w:p>
    <w:p w:rsidR="00743DA6" w:rsidRDefault="00D95D19">
      <w:pPr>
        <w:spacing w:before="240" w:after="240"/>
        <w:jc w:val="both"/>
        <w:rPr>
          <w:sz w:val="22"/>
          <w:szCs w:val="22"/>
        </w:rPr>
      </w:pPr>
      <w:r>
        <w:rPr>
          <w:sz w:val="22"/>
          <w:szCs w:val="22"/>
        </w:rPr>
        <w:t>Esta reducción es equivocada en una ciudad donde miles de niños y adolescentes enfrentan inseguridad alimentaria, déficit nutricional y condiciones de pobreza que requieren una acción pública decidida. El recorte demuestra que no se está priorizando un problema que tiene efectos directos en el aprendizaje, el crecimiento y la salud de la niñez. Reducir recursos para educación nutricional, prevención de malnutrición y fortalecimiento comunitario es retroceder en uno de los compromisos más sensibles del Estado, proteger a la población de especial protección y garantizar condiciones mínimas para combatir el hambre. En un contexto de desigualdad, estas decisiones presupuestales no solo son injustificadas, sino profundamente regresivas.</w:t>
      </w:r>
    </w:p>
    <w:p w:rsidR="00743DA6" w:rsidRDefault="00D95D19">
      <w:pPr>
        <w:spacing w:before="240" w:after="240"/>
        <w:jc w:val="both"/>
        <w:rPr>
          <w:b/>
          <w:bCs/>
          <w:sz w:val="22"/>
          <w:szCs w:val="22"/>
        </w:rPr>
      </w:pPr>
      <w:r>
        <w:rPr>
          <w:b/>
          <w:bCs/>
          <w:sz w:val="22"/>
          <w:szCs w:val="22"/>
        </w:rPr>
        <w:t>Fortalecimiento de la infraestructura y dotación del sector salud Bogotá</w:t>
      </w:r>
    </w:p>
    <w:p w:rsidR="00743DA6" w:rsidRDefault="00D95D19">
      <w:pPr>
        <w:spacing w:before="240" w:after="240"/>
        <w:jc w:val="both"/>
        <w:rPr>
          <w:sz w:val="22"/>
          <w:szCs w:val="22"/>
        </w:rPr>
      </w:pPr>
      <w:r>
        <w:rPr>
          <w:sz w:val="22"/>
          <w:szCs w:val="22"/>
        </w:rPr>
        <w:t xml:space="preserve">El análisis en conjunto del Proyecto de Inversión “Fortalecimiento de la infraestructura y dotación del sector salud”, sus metas y actividades asociadas contrastando el </w:t>
      </w:r>
      <w:r>
        <w:rPr>
          <w:i/>
          <w:iCs/>
          <w:sz w:val="22"/>
          <w:szCs w:val="22"/>
        </w:rPr>
        <w:t>Libro Cero (2026)</w:t>
      </w:r>
      <w:r>
        <w:rPr>
          <w:sz w:val="22"/>
          <w:szCs w:val="22"/>
        </w:rPr>
        <w:t xml:space="preserve">, los </w:t>
      </w:r>
      <w:r>
        <w:rPr>
          <w:i/>
          <w:iCs/>
          <w:sz w:val="22"/>
          <w:szCs w:val="22"/>
        </w:rPr>
        <w:t>Anexos 2 y 3</w:t>
      </w:r>
      <w:r>
        <w:rPr>
          <w:sz w:val="22"/>
          <w:szCs w:val="22"/>
        </w:rPr>
        <w:t xml:space="preserve">, la </w:t>
      </w:r>
      <w:r>
        <w:rPr>
          <w:i/>
          <w:iCs/>
          <w:sz w:val="22"/>
          <w:szCs w:val="22"/>
        </w:rPr>
        <w:t>Resolución 24-25 de aprobación presupuestal de las SISS</w:t>
      </w:r>
      <w:r>
        <w:rPr>
          <w:sz w:val="22"/>
          <w:szCs w:val="22"/>
        </w:rPr>
        <w:t>, evidencia una desalineación entre metas, costos proyectados y asignaciones reales para 2026. El presupuesto global del proyecto pasa de $374.539 millones en 2025 a $342.909 millones en 2026, implicando una reducción neta de –$31.630 millones, pese a que las metas definidas mantienen niveles de avance iguales o superiores a los del año anterior. Esta reducción no está soportada en el Marco Fiscal Sectorial, que advierte incrementos en costos de obra pública, riesgos de indexación y necesidades no financiadas en redes de urgencias, ni en la programación física del proyecto, que continúa comprometiéndose con 5 UDS, 2 diseños y 2 hospitales con vigencias futuras. La evidencia técnica revela un déficit de correspondencia entre programación física y programación financiera, afectando y poniendo en riesgo las metas de avance del 80 % y 85 % para 2026.</w:t>
      </w:r>
    </w:p>
    <w:p w:rsidR="00743DA6" w:rsidRDefault="00D95D19">
      <w:pPr>
        <w:spacing w:before="240" w:after="240"/>
        <w:jc w:val="both"/>
        <w:rPr>
          <w:sz w:val="22"/>
          <w:szCs w:val="22"/>
        </w:rPr>
      </w:pPr>
      <w:r>
        <w:rPr>
          <w:sz w:val="22"/>
          <w:szCs w:val="22"/>
        </w:rPr>
        <w:t>Por otro lado, el comportamiento interno del proyecto muestra variaciones inconsistentes entre metas, particularmente en infraestructura hospitalaria estratégica. Mientras la meta de avance del 75 % en tres instalaciones hospitalarias aumenta $35.299 millones en 2026, la meta de culminación del 85 % de cinco UDS presenta un recorte de –$14.992 millones, y la meta de obras de mejoramiento y reposición sufre una reducción aún mayor (–$35.488 millones). En contraste, las metas que incorporan vigencias futuras presentan incrementos como los $20.307 millones adicionales para la meta que incluye APP Bosa y APP San Juan de Dios, sin que exista una matriz de costos, cronogramas o análisis de inversión por fases que justifique el desplazamiento de recursos. Además, se advierte la eliminación total de apropiación para la APP Engativá en metas específicas, pese a que el MFMP y el Anexo 3 ratifican su condición de proyecto crítico para cerrar brechas de oferta hospitalaria. Esta inconsistencia presupuestal sugiere un riesgo de subfinanciación estructural, genera alertas sobre el cumplimiento de vigencias futuras autorizadas, y vulnera el principio de plurianualidad, ya que la asignación proyectada 2026 no es coherente ni con el costo total del proyecto ni con la senda financiera aprobada en años anteriores representa un riesgo para la sostenibilidad del programa de infraestructura y compromete la capacidad del sistema para responder al déficit de camas, la sobreocupación de urgencias y las necesidades de expansión hospitalaria que afectan gravemente a la red pública.</w:t>
      </w:r>
    </w:p>
    <w:p w:rsidR="00743DA6" w:rsidRDefault="00D95D19">
      <w:pPr>
        <w:spacing w:before="240" w:after="240"/>
        <w:jc w:val="both"/>
        <w:rPr>
          <w:b/>
          <w:bCs/>
          <w:sz w:val="22"/>
          <w:szCs w:val="22"/>
        </w:rPr>
      </w:pPr>
      <w:r>
        <w:rPr>
          <w:b/>
          <w:bCs/>
          <w:sz w:val="22"/>
          <w:szCs w:val="22"/>
        </w:rPr>
        <w:t>Fortalecimiento de la Red Integrada de Servicios de Salud y Capital Salud Bogotá D.C.</w:t>
      </w:r>
    </w:p>
    <w:p w:rsidR="00743DA6" w:rsidRDefault="00D95D19">
      <w:pPr>
        <w:spacing w:before="240" w:after="240"/>
        <w:jc w:val="both"/>
        <w:rPr>
          <w:sz w:val="22"/>
          <w:szCs w:val="22"/>
        </w:rPr>
      </w:pPr>
      <w:r>
        <w:rPr>
          <w:sz w:val="22"/>
          <w:szCs w:val="22"/>
        </w:rPr>
        <w:t xml:space="preserve">A pesar de que el proyecto de inversión </w:t>
      </w:r>
      <w:r>
        <w:rPr>
          <w:i/>
          <w:iCs/>
          <w:sz w:val="22"/>
          <w:szCs w:val="22"/>
        </w:rPr>
        <w:t>“Fortalecimiento de la Red Integrada de Servicios de Salud y Capital Salud”</w:t>
      </w:r>
      <w:r>
        <w:rPr>
          <w:sz w:val="22"/>
          <w:szCs w:val="22"/>
        </w:rPr>
        <w:t xml:space="preserve"> presenta un incremento global significativo de $101.367 millones en 2025 a $188.537 millones en 2026, un aumento de $87.170 millones, la estructura interna del presupuesto muestra una desalineación preocupante entre el crecimiento del proyecto y el comportamiento real de sus metas. Mientras la actividad 1, orientada a implementar el Modelo de Salud Basado en APS Social, aumenta de forma abrupta de $8.068 millones a $180.274 millones, las actividades esenciales para la sostenibilidad operativa de la red, como el monitoreo de la articulación administrativa, financiera y asistencial entre Capital Salud y las Subredes disminuyen, pasan de $92.886 millones en 2025 a solo $8.263 millones en 2026, una caída de –$84.623 millones, y la actividad de seguimiento a la EGAT desaparece completamente (–$412 millones). Esta pérdida de recursos en dos de las tres actividades provoca una ruptura técnica entre los objetivos estratégicos del proyecto y la financiación asignada.</w:t>
      </w:r>
    </w:p>
    <w:p w:rsidR="00743DA6" w:rsidRDefault="00D95D19">
      <w:pPr>
        <w:spacing w:before="240" w:after="240"/>
        <w:jc w:val="both"/>
        <w:rPr>
          <w:sz w:val="22"/>
          <w:szCs w:val="22"/>
        </w:rPr>
      </w:pPr>
      <w:r>
        <w:rPr>
          <w:sz w:val="22"/>
          <w:szCs w:val="22"/>
        </w:rPr>
        <w:t>Este comportamiento presupuestal resulta aún más grave cuando se contrasta con los riesgos críticos del sector, ampliamente documentados en los anexos técnicos, el MFMP 2026-2036 y los diagnósticos de las Subredes, rezagos históricos en flujo de caja, brechas en la capacidad de contratación, presiones de gasto por demandas y fallos judiciales derivados de “contratos realidad” entre otros y la fragilidad financiera de Capital Salud, que requiere recursos crecientes para saneamiento, gestión del riesgo en salud y sostenibilidad operativa. Reducir drásticamente los recursos destinados al control, monitoreo y soporte técnico de las Subredes y Capital Salud compromete la capacidad del Distrito para garantizar continuidad operativa, realizar seguimiento financiero adecuado y anticipar contingencias fiscales. El aumento global del proyecto, distribuido de manera regresiva e inconsistente entre actividades, no fortalece la red integrada, la expone. La administración debe explicar por qué prioriza una expansión súbita del presupuesto de APS social sin asegurar herramientas mínimas de vigilancia operativa, articulación administrativa y soporte técnico, especialmente en un contexto donde los pasivos por contratos realidad y la inestabilidad financiera de las ESE y Capital Salud requieren un enfoque de fortalecimiento institucional y no de debilitamiento presupuestal.</w:t>
      </w:r>
    </w:p>
    <w:p w:rsidR="00743DA6" w:rsidRDefault="00D95D19">
      <w:pPr>
        <w:spacing w:before="240" w:after="240"/>
        <w:jc w:val="both"/>
        <w:rPr>
          <w:b/>
          <w:bCs/>
          <w:sz w:val="22"/>
          <w:szCs w:val="22"/>
        </w:rPr>
      </w:pPr>
      <w:r>
        <w:rPr>
          <w:b/>
          <w:bCs/>
          <w:sz w:val="22"/>
          <w:szCs w:val="22"/>
        </w:rPr>
        <w:t>Implementación Aseguramiento y prestación integral de servicios de salud Bogotá D.C.</w:t>
      </w:r>
    </w:p>
    <w:p w:rsidR="00743DA6" w:rsidRDefault="00D95D19">
      <w:pPr>
        <w:spacing w:before="240" w:after="240"/>
        <w:jc w:val="both"/>
        <w:rPr>
          <w:sz w:val="22"/>
          <w:szCs w:val="22"/>
        </w:rPr>
      </w:pPr>
      <w:r>
        <w:rPr>
          <w:sz w:val="22"/>
          <w:szCs w:val="22"/>
        </w:rPr>
        <w:t xml:space="preserve">Aunque el proyecto de inversión </w:t>
      </w:r>
      <w:r>
        <w:rPr>
          <w:i/>
          <w:iCs/>
          <w:sz w:val="22"/>
          <w:szCs w:val="22"/>
        </w:rPr>
        <w:t>“Implementación del Aseguramiento y la Prestación Integral de Servicios de Salud en Bogotá D.C.”</w:t>
      </w:r>
      <w:r>
        <w:rPr>
          <w:sz w:val="22"/>
          <w:szCs w:val="22"/>
        </w:rPr>
        <w:t xml:space="preserve"> muestra un incremento global de $3,505,216 millones en 2025 a $3,652,700 millones en 2026, es decir, $147,483 millones adicionales, este crecimiento es contradictorio. La mayor parte del incremento proviene de la creación de una nueva línea presupuestal para “definir e implementar un mecanismo de articulación con regímenes de excepción”, que pasa de $106 millones en 2025 a $219,378 millones en 2026, un salto desproporcionado de $219,272 millones sin ejecución previa que lo sustente. Sin embargo, las metas esenciales del aseguramiento, que representan el corazón del sistema y la mayor carga financiera del sector, pierden recursos, a pesar de tratarse de obligaciones constitucionales y de un servicio público esencial de prestación continua. La meta 1 (“mantener cobertura 100% del aseguramiento”) cae –$15,509 millones, y la meta 2 (“garantizar servicios a población no afiliada”) sufre un recorte crítico de –$56,279 millones, reduciendo su apropiación casi a la mitad respecto de la programación 2025. Esta desalineación es incompatible con los riesgos operativos y fiscales identificados en el MFMP, los anexos de deuda contingente y los informes de Capital Salud y Subredes, que advierten presiones crecientes por sentencias judiciales, pagos por contratos realidad, aumento de la demanda y alta carga de servicios no POS.</w:t>
      </w:r>
    </w:p>
    <w:p w:rsidR="00743DA6" w:rsidRDefault="00D95D19">
      <w:pPr>
        <w:spacing w:before="240" w:after="240"/>
        <w:jc w:val="both"/>
        <w:rPr>
          <w:sz w:val="22"/>
          <w:szCs w:val="22"/>
        </w:rPr>
      </w:pPr>
      <w:r>
        <w:rPr>
          <w:sz w:val="22"/>
          <w:szCs w:val="22"/>
        </w:rPr>
        <w:t xml:space="preserve">Este comportamiento presupuestal afecta directamente la capacidad del Distrito para sostener la operación del sistema de salud y compromete la estabilidad financiera de la red pública. Mientras se asignan más de $219 mil millones a diseñar un mecanismo interinstitucional sin antecedentes de implementación ni evidencia de impacto inmediato, se reducen recursos de metas que financian la continuidad del aseguramiento de 8 millones de habitantes, la atención de población no afiliada y el pago de servicios prestados por las Subredes y Capital Salud, entidades que hoy enfrentan un déficit acumulado, pasivos exigibles por más de $2 billones y contingencias laborales por demandas de contratos realidad que deben atenderse dentro del marco del aseguramiento. La disminución presupuestal en estas metas esenciales va en contra de la política de fortalecimiento de la red integrada y del mandato constitucional de garantizar acceso efectivo y continuo. </w:t>
      </w:r>
    </w:p>
    <w:p w:rsidR="00743DA6" w:rsidRDefault="00D95D19">
      <w:pPr>
        <w:spacing w:before="240" w:after="240"/>
        <w:jc w:val="both"/>
        <w:rPr>
          <w:sz w:val="22"/>
          <w:szCs w:val="22"/>
        </w:rPr>
      </w:pPr>
      <w:r>
        <w:rPr>
          <w:sz w:val="22"/>
          <w:szCs w:val="22"/>
        </w:rPr>
        <w:t>En conclusión, partiendo del análisis integral de los proyectos de inversión del sector salud para 2026, incluyendo aseguramiento, APS social, infraestructura hospitalaria, gobernanza en salud pública, fortalecimiento de la red integrada y Capital Salud, se advierte un patrón sistemático de desalineación presupuestal, incoherencia programática y debilidad técnica. Mientras algunos proyectos presentan incrementos globales significativos, estos aumentos no se reflejan en las metas críticas del sector, especialmente en aquellas relacionadas con aseguramiento, atención de población no afiliada, infraestructura hospitalaria priorizada y fortalecimiento institucional de Subredes y Capital Salud. La mayoría de las metas esenciales, incluso aquellas dirigidas a poblaciones de especial protección (infancia, víctimas, adultos mayores, salud mental, consumo de SPA, nutrición y zoonosis), muestran reducciones presupuestales respecto de su programación 2025, sus compromisos y sus giros, advirtiendo que este con corte a octubre de 2025, lo que muestra un retroceso en áreas donde el propio Plan de Desarrollo exige ampliación de coberturas y fortalecimiento territorial, desatiende las alertas fiscales identificadas en el Marco Fiscal de Mediano Plazo, especialmente en relación con pasivos laborales por contratos realidad, déficit hospitalario acumulado y riesgo de sostenibilidad de Capital Salud.</w:t>
      </w:r>
    </w:p>
    <w:p w:rsidR="00743DA6" w:rsidRDefault="00D95D19">
      <w:pPr>
        <w:spacing w:before="240" w:after="240"/>
        <w:jc w:val="both"/>
      </w:pPr>
      <w:r>
        <w:rPr>
          <w:sz w:val="22"/>
          <w:szCs w:val="22"/>
        </w:rPr>
        <w:t>En contraste, ciertos rubros nuevos, particularmente la línea destinada a “definir e implementar un mecanismo de articulación con regímenes de excepción”, experimentan incrementos desproporcionados y sin soporte técnico ni programático, como el salto de $106 millones a $219.378 millones, no presenta trazabilidad en los anexos presupuestales y no evidencia ejecución previa que justifique semejante expansión. De manera simultánea, proyectos destinados a cerrar brechas estructurales de infraestructura, Engativá, San Juan de Dios, APP Bosa, unidades de servicios de salud, muestran reducciones, inconsistencias o incluso eliminación de apropiaciones, a pesar de que el diagnóstico sectorial y el MFMP reconocen el déficit crítico de camas, la presión sobre urgencias y la necesidad de fortalecer redes territoriales. Esta mezcla de incrementos sin fundamento técnico y recortes en áreas estratégicas configura un riesgo real para la cohesión financiera del sector salud, amenaza la continuidad de servicios esenciales y debilita la capacidad institucional del Distrito para enfrentar su carga creciente de obligaciones, demandas judiciales y necesidades de atención. Por ello, el presupuesto 2026 requiere una revisión exhaustiva para corregir desviaciones, coherencia programática y asegurar que los recursos se orienten realmente a garantizar el derecho fundamental a la salud de la población bogotana.</w:t>
      </w:r>
    </w:p>
    <w:p w:rsidR="00743DA6" w:rsidRDefault="00D95D19">
      <w:pPr>
        <w:rPr>
          <w:b/>
          <w:bCs/>
          <w:sz w:val="22"/>
          <w:szCs w:val="22"/>
        </w:rPr>
      </w:pPr>
      <w:r>
        <w:rPr>
          <w:b/>
          <w:bCs/>
          <w:sz w:val="22"/>
          <w:szCs w:val="22"/>
        </w:rPr>
        <w:t>Secretaría Distrital del Hábitat</w:t>
      </w:r>
    </w:p>
    <w:p w:rsidR="00743DA6" w:rsidRDefault="00743DA6">
      <w:pPr>
        <w:rPr>
          <w:b/>
          <w:bCs/>
          <w:sz w:val="22"/>
          <w:szCs w:val="22"/>
        </w:rPr>
      </w:pPr>
    </w:p>
    <w:p w:rsidR="00743DA6" w:rsidRDefault="00D95D19">
      <w:pPr>
        <w:spacing w:line="276" w:lineRule="auto"/>
        <w:jc w:val="center"/>
        <w:rPr>
          <w:sz w:val="22"/>
          <w:szCs w:val="22"/>
        </w:rPr>
      </w:pPr>
      <w:r>
        <w:rPr>
          <w:sz w:val="22"/>
          <w:szCs w:val="22"/>
        </w:rPr>
        <w:t>Gráfica x Histórico Presupuestal 2022- 2025 Secretaría Distrital del Hábitat</w:t>
      </w:r>
    </w:p>
    <w:p w:rsidR="00743DA6" w:rsidRDefault="00D95D19">
      <w:pPr>
        <w:jc w:val="center"/>
        <w:rPr>
          <w:sz w:val="16"/>
          <w:szCs w:val="16"/>
        </w:rPr>
      </w:pPr>
      <w:r>
        <w:rPr>
          <w:b/>
          <w:bCs/>
          <w:noProof/>
          <w:sz w:val="22"/>
          <w:szCs w:val="22"/>
          <w:lang w:val="es-CO"/>
        </w:rPr>
        <w:drawing>
          <wp:inline distT="114300" distB="114300" distL="114300" distR="114300">
            <wp:extent cx="5612130" cy="2197100"/>
            <wp:effectExtent l="0" t="0" r="0" b="0"/>
            <wp:docPr id="2127399606"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59"/>
                    <a:srcRect/>
                    <a:stretch>
                      <a:fillRect/>
                    </a:stretch>
                  </pic:blipFill>
                  <pic:spPr>
                    <a:xfrm>
                      <a:off x="0" y="0"/>
                      <a:ext cx="5612130" cy="21971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D95D19">
      <w:pPr>
        <w:spacing w:before="240" w:line="276" w:lineRule="auto"/>
        <w:jc w:val="both"/>
        <w:rPr>
          <w:b/>
          <w:bCs/>
          <w:sz w:val="22"/>
          <w:szCs w:val="22"/>
        </w:rPr>
      </w:pPr>
      <w:r>
        <w:rPr>
          <w:sz w:val="22"/>
          <w:szCs w:val="22"/>
        </w:rPr>
        <w:t>El análisis de los Proyectos de Inversión de la Secretaría Distrital del Hábitat para el Proyecto Presupuesto 2026 indica una leve tendencia de aumento global en el rubro de Inversión, a pesar de una reducción significativa en proyectos específicos de gestión administrativa y prevención de urbanismo ilegal.</w:t>
      </w:r>
    </w:p>
    <w:p w:rsidR="00743DA6" w:rsidRDefault="00D95D19">
      <w:pPr>
        <w:spacing w:before="240" w:line="276" w:lineRule="auto"/>
        <w:jc w:val="both"/>
        <w:rPr>
          <w:sz w:val="22"/>
          <w:szCs w:val="22"/>
        </w:rPr>
      </w:pPr>
      <w:r>
        <w:rPr>
          <w:sz w:val="22"/>
          <w:szCs w:val="22"/>
        </w:rPr>
        <w:t>En este sentido. los recortes más significativos se concentran en proyectos de gestión administrativa, legalización y prevención, indicando una reasignación de prioridades en estas áreas:</w:t>
      </w:r>
    </w:p>
    <w:p w:rsidR="00743DA6" w:rsidRDefault="00743DA6">
      <w:pPr>
        <w:spacing w:before="240" w:line="276" w:lineRule="auto"/>
        <w:jc w:val="both"/>
        <w:rPr>
          <w:sz w:val="22"/>
          <w:szCs w:val="22"/>
        </w:rPr>
      </w:pPr>
    </w:p>
    <w:p w:rsidR="00743DA6" w:rsidRDefault="00D95D19">
      <w:pPr>
        <w:spacing w:line="259" w:lineRule="auto"/>
        <w:jc w:val="both"/>
        <w:rPr>
          <w:sz w:val="22"/>
          <w:szCs w:val="22"/>
        </w:rPr>
      </w:pPr>
      <w:r>
        <w:rPr>
          <w:sz w:val="22"/>
          <w:szCs w:val="22"/>
        </w:rPr>
        <w:t xml:space="preserve">"Implementación de acciones y estrategias que garanticen el desarrollo formal de vivienda, la legalización urbanística y la prevención frente a la urbanización ilegal en Bogotá D.C.  con una disminución del 33,29% ", y el proyecto de inversión de Fortalecimiento en la gestión pública integral en la Secretaría Distrital del Hábitat, (gestión institucional) con una reducción del-16,80% ". </w:t>
      </w:r>
    </w:p>
    <w:p w:rsidR="00743DA6" w:rsidRDefault="00743DA6">
      <w:pPr>
        <w:spacing w:line="259" w:lineRule="auto"/>
        <w:jc w:val="both"/>
      </w:pPr>
    </w:p>
    <w:p w:rsidR="00743DA6" w:rsidRDefault="00D95D19">
      <w:pPr>
        <w:spacing w:line="259" w:lineRule="auto"/>
        <w:jc w:val="center"/>
        <w:rPr>
          <w:sz w:val="18"/>
          <w:szCs w:val="18"/>
        </w:rPr>
      </w:pPr>
      <w:r>
        <w:rPr>
          <w:sz w:val="22"/>
          <w:szCs w:val="22"/>
        </w:rPr>
        <w:t>Tabla x. Programación Presupuestal Comparada de Secretaría Distrital del Hábitat Vigencia 2025 y Proyecto de Presupuesto 2026</w:t>
      </w:r>
      <w:r>
        <w:rPr>
          <w:noProof/>
          <w:sz w:val="22"/>
          <w:szCs w:val="22"/>
          <w:lang w:val="es-CO"/>
        </w:rPr>
        <w:drawing>
          <wp:inline distT="114300" distB="114300" distL="114300" distR="114300">
            <wp:extent cx="5612130" cy="4279900"/>
            <wp:effectExtent l="0" t="0" r="0" b="0"/>
            <wp:docPr id="2127399619"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0"/>
                    <a:srcRect/>
                    <a:stretch>
                      <a:fillRect/>
                    </a:stretch>
                  </pic:blipFill>
                  <pic:spPr>
                    <a:xfrm>
                      <a:off x="0" y="0"/>
                      <a:ext cx="5612130" cy="4279900"/>
                    </a:xfrm>
                    <a:prstGeom prst="rect">
                      <a:avLst/>
                    </a:prstGeom>
                    <a:ln/>
                  </pic:spPr>
                </pic:pic>
              </a:graphicData>
            </a:graphic>
          </wp:inline>
        </w:drawing>
      </w:r>
      <w:r>
        <w:rPr>
          <w:b/>
          <w:bCs/>
          <w:sz w:val="18"/>
          <w:szCs w:val="18"/>
        </w:rPr>
        <w:t>Fuente:</w:t>
      </w:r>
      <w:r>
        <w:rPr>
          <w:sz w:val="18"/>
          <w:szCs w:val="18"/>
        </w:rPr>
        <w:t xml:space="preserve"> Elaboración propia (2025) con base en la información suministrada de la SDH (2025).</w:t>
      </w:r>
    </w:p>
    <w:p w:rsidR="00743DA6" w:rsidRDefault="00D95D19">
      <w:pPr>
        <w:spacing w:before="240" w:line="276" w:lineRule="auto"/>
        <w:jc w:val="both"/>
        <w:rPr>
          <w:sz w:val="22"/>
          <w:szCs w:val="22"/>
        </w:rPr>
      </w:pPr>
      <w:r>
        <w:rPr>
          <w:sz w:val="22"/>
          <w:szCs w:val="22"/>
        </w:rPr>
        <w:t>Ahora bien, revisando el presupuesto asignado a la Entidad, El 89% de los recursos 2026 del presupuesto de inversión directa de la SDHT ($457.298 millones), se destinarán al Plan de vivienda “Mi Casa en Bogotá” y la estrategia de Revitalización Urbana que aportan al proceso de reactivación económica, esto en desmérito de los recursos destinados a el mejoramiento de vivienda, urbana, rural y estructural.</w:t>
      </w:r>
    </w:p>
    <w:p w:rsidR="00743DA6" w:rsidRDefault="00D95D19">
      <w:pPr>
        <w:spacing w:before="240" w:line="276" w:lineRule="auto"/>
        <w:jc w:val="both"/>
        <w:rPr>
          <w:sz w:val="22"/>
          <w:szCs w:val="22"/>
        </w:rPr>
      </w:pPr>
      <w:r>
        <w:rPr>
          <w:sz w:val="22"/>
          <w:szCs w:val="22"/>
        </w:rPr>
        <w:t>El déficit cualitativo de hábitat (o de vivienda) en Bogotá se refiere a los hogares que viven en una vivienda que es inadecuada o que carece de las condiciones mínimas de calidad, incluso si el hogar tiene una vivienda propia o en arriendo.</w:t>
      </w:r>
    </w:p>
    <w:p w:rsidR="00743DA6" w:rsidRDefault="00D95D19">
      <w:pPr>
        <w:spacing w:before="240" w:line="276" w:lineRule="auto"/>
        <w:jc w:val="both"/>
        <w:rPr>
          <w:sz w:val="22"/>
          <w:szCs w:val="22"/>
        </w:rPr>
      </w:pPr>
      <w:r>
        <w:rPr>
          <w:sz w:val="22"/>
          <w:szCs w:val="22"/>
        </w:rPr>
        <w:t xml:space="preserve">Según la Secretaría Distrital del Hábitat (SDHT) de Bogotá, con datos de la Encuesta de Calidad de Vida (ECV) de 2023, 10.4% de los hogares en Bogotá (lo que equivale a 315 mil hogares) presentaban déficit cualitativo, lo que indica que sus viviendas requieren mejoras estructurales. Este porcentaje es significativamente mayor que el déficit cuantitativo (hogares que requieren una vivienda nueva), que para el mismo año y fuente se ubicó en 0.7% (21 mil hogares). </w:t>
      </w:r>
    </w:p>
    <w:p w:rsidR="00743DA6" w:rsidRDefault="00743DA6">
      <w:pPr>
        <w:spacing w:before="240" w:line="276" w:lineRule="auto"/>
        <w:jc w:val="both"/>
        <w:rPr>
          <w:sz w:val="22"/>
          <w:szCs w:val="22"/>
        </w:rPr>
      </w:pPr>
    </w:p>
    <w:p w:rsidR="00743DA6" w:rsidRDefault="00D95D19">
      <w:pPr>
        <w:spacing w:line="259" w:lineRule="auto"/>
        <w:jc w:val="both"/>
        <w:rPr>
          <w:sz w:val="22"/>
          <w:szCs w:val="22"/>
        </w:rPr>
      </w:pPr>
      <w:r>
        <w:rPr>
          <w:sz w:val="22"/>
          <w:szCs w:val="22"/>
        </w:rPr>
        <w:t>La administración Distrital lleva 742 mejoramientos de vivienda, la meta de Ejecutar 8000 Mejoramiento(s) de vivienda rural y urbana para familias en condiciones vulnerabilidad, tiene un reporte de avance físico de del 5% de lo transcurrido en la vigencia, y solo 2% de cumplimiento de Plan de desarrollo.</w:t>
      </w:r>
    </w:p>
    <w:p w:rsidR="00743DA6" w:rsidRDefault="00743DA6">
      <w:pPr>
        <w:spacing w:line="259" w:lineRule="auto"/>
        <w:jc w:val="both"/>
        <w:rPr>
          <w:sz w:val="22"/>
          <w:szCs w:val="22"/>
        </w:rPr>
      </w:pPr>
    </w:p>
    <w:p w:rsidR="00743DA6" w:rsidRDefault="00D95D19">
      <w:pPr>
        <w:spacing w:line="259" w:lineRule="auto"/>
        <w:rPr>
          <w:b/>
          <w:bCs/>
          <w:sz w:val="22"/>
          <w:szCs w:val="22"/>
        </w:rPr>
      </w:pPr>
      <w:r>
        <w:rPr>
          <w:b/>
          <w:bCs/>
          <w:sz w:val="22"/>
          <w:szCs w:val="22"/>
        </w:rPr>
        <w:t>Caja de la Vivienda Popular</w:t>
      </w:r>
    </w:p>
    <w:p w:rsidR="00743DA6" w:rsidRDefault="00743DA6">
      <w:pPr>
        <w:rPr>
          <w:b/>
          <w:bCs/>
        </w:rPr>
      </w:pPr>
    </w:p>
    <w:p w:rsidR="00743DA6" w:rsidRDefault="00D95D19">
      <w:pPr>
        <w:pBdr>
          <w:top w:val="nil"/>
          <w:left w:val="nil"/>
          <w:bottom w:val="nil"/>
          <w:right w:val="nil"/>
          <w:between w:val="nil"/>
        </w:pBdr>
        <w:spacing w:line="259" w:lineRule="auto"/>
        <w:jc w:val="center"/>
        <w:rPr>
          <w:color w:val="000000"/>
        </w:rPr>
      </w:pPr>
      <w:r>
        <w:rPr>
          <w:sz w:val="22"/>
          <w:szCs w:val="22"/>
        </w:rPr>
        <w:t xml:space="preserve">Gráfica x. Histórico Presupuestal 2022- 2025 </w:t>
      </w:r>
      <w:r>
        <w:rPr>
          <w:color w:val="000000"/>
          <w:sz w:val="22"/>
          <w:szCs w:val="22"/>
        </w:rPr>
        <w:t>Caja de la Vivienda Popular</w:t>
      </w:r>
      <w:r>
        <w:rPr>
          <w:noProof/>
          <w:color w:val="000000"/>
          <w:lang w:val="es-CO"/>
        </w:rPr>
        <w:drawing>
          <wp:inline distT="114300" distB="114300" distL="114300" distR="114300">
            <wp:extent cx="5612130" cy="2197100"/>
            <wp:effectExtent l="0" t="0" r="0" b="0"/>
            <wp:docPr id="212739960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61"/>
                    <a:srcRect/>
                    <a:stretch>
                      <a:fillRect/>
                    </a:stretch>
                  </pic:blipFill>
                  <pic:spPr>
                    <a:xfrm>
                      <a:off x="0" y="0"/>
                      <a:ext cx="5612130" cy="21971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D95D19">
      <w:pPr>
        <w:spacing w:before="240" w:line="276" w:lineRule="auto"/>
        <w:jc w:val="both"/>
        <w:rPr>
          <w:sz w:val="22"/>
          <w:szCs w:val="22"/>
        </w:rPr>
      </w:pPr>
      <w:r>
        <w:rPr>
          <w:sz w:val="22"/>
          <w:szCs w:val="22"/>
        </w:rPr>
        <w:t>La Caja de la Vivienda Popular (CVP) es una entidad descentralizada del Distrito Capital de Bogotá que forma parte del Sector Hábitat. Su misión principal es gestionar y desarrollar soluciones habitacionales para la población más vulnerable y de bajos ingresos de la ciudad.</w:t>
      </w:r>
    </w:p>
    <w:p w:rsidR="00743DA6" w:rsidRDefault="00D95D19">
      <w:pPr>
        <w:spacing w:before="240" w:line="276" w:lineRule="auto"/>
        <w:jc w:val="both"/>
        <w:rPr>
          <w:sz w:val="22"/>
          <w:szCs w:val="22"/>
        </w:rPr>
      </w:pPr>
      <w:r>
        <w:rPr>
          <w:sz w:val="22"/>
          <w:szCs w:val="22"/>
        </w:rPr>
        <w:t>La CVP se enfoca en mejorar las condiciones de habitabilidad y calidad de vida de los habitantes de Bogotá que viven en asentamientos precarios o en zonas de riesgo, a través de programas de:</w:t>
      </w:r>
    </w:p>
    <w:p w:rsidR="00743DA6" w:rsidRDefault="00D95D19">
      <w:pPr>
        <w:numPr>
          <w:ilvl w:val="0"/>
          <w:numId w:val="63"/>
        </w:numPr>
        <w:spacing w:before="240" w:line="276" w:lineRule="auto"/>
        <w:jc w:val="both"/>
        <w:rPr>
          <w:sz w:val="22"/>
          <w:szCs w:val="22"/>
        </w:rPr>
      </w:pPr>
      <w:r>
        <w:rPr>
          <w:sz w:val="22"/>
          <w:szCs w:val="22"/>
        </w:rPr>
        <w:t xml:space="preserve">Saneamiento y titulación: Legalización de la propiedad de los predios. </w:t>
      </w:r>
    </w:p>
    <w:p w:rsidR="00743DA6" w:rsidRDefault="00D95D19">
      <w:pPr>
        <w:numPr>
          <w:ilvl w:val="0"/>
          <w:numId w:val="63"/>
        </w:numPr>
        <w:spacing w:line="276" w:lineRule="auto"/>
        <w:jc w:val="both"/>
        <w:rPr>
          <w:sz w:val="22"/>
          <w:szCs w:val="22"/>
        </w:rPr>
      </w:pPr>
      <w:r>
        <w:rPr>
          <w:sz w:val="22"/>
          <w:szCs w:val="22"/>
        </w:rPr>
        <w:t>Reubicación: Traslado de familias que residen en zonas de alto riesgo no mitigable.</w:t>
      </w:r>
    </w:p>
    <w:p w:rsidR="00743DA6" w:rsidRDefault="00D95D19">
      <w:pPr>
        <w:numPr>
          <w:ilvl w:val="0"/>
          <w:numId w:val="63"/>
        </w:numPr>
        <w:spacing w:line="276" w:lineRule="auto"/>
        <w:jc w:val="both"/>
        <w:rPr>
          <w:sz w:val="22"/>
          <w:szCs w:val="22"/>
        </w:rPr>
      </w:pPr>
      <w:r>
        <w:rPr>
          <w:sz w:val="22"/>
          <w:szCs w:val="22"/>
        </w:rPr>
        <w:t xml:space="preserve">Mejoramiento de vivienda: Intervenciones para dignificar las condiciones físicas de las viviendas. </w:t>
      </w:r>
    </w:p>
    <w:p w:rsidR="00743DA6" w:rsidRDefault="00D95D19">
      <w:pPr>
        <w:numPr>
          <w:ilvl w:val="0"/>
          <w:numId w:val="63"/>
        </w:numPr>
        <w:spacing w:line="276" w:lineRule="auto"/>
        <w:jc w:val="both"/>
        <w:rPr>
          <w:sz w:val="22"/>
          <w:szCs w:val="22"/>
        </w:rPr>
      </w:pPr>
      <w:r>
        <w:rPr>
          <w:sz w:val="22"/>
          <w:szCs w:val="22"/>
        </w:rPr>
        <w:t>Apoyo a la adquisición de Vivienda de Interés Social (VIS) y Prioritario (VIP).</w:t>
      </w:r>
    </w:p>
    <w:p w:rsidR="00743DA6" w:rsidRDefault="00743DA6">
      <w:pPr>
        <w:spacing w:before="240" w:line="276" w:lineRule="auto"/>
        <w:ind w:left="720"/>
        <w:jc w:val="both"/>
        <w:rPr>
          <w:sz w:val="22"/>
          <w:szCs w:val="22"/>
        </w:rPr>
      </w:pPr>
    </w:p>
    <w:p w:rsidR="00743DA6" w:rsidRDefault="00D95D19">
      <w:pPr>
        <w:pBdr>
          <w:top w:val="nil"/>
          <w:left w:val="nil"/>
          <w:bottom w:val="nil"/>
          <w:right w:val="nil"/>
          <w:between w:val="nil"/>
        </w:pBdr>
        <w:spacing w:line="259" w:lineRule="auto"/>
        <w:jc w:val="both"/>
        <w:rPr>
          <w:sz w:val="22"/>
          <w:szCs w:val="22"/>
        </w:rPr>
      </w:pPr>
      <w:r>
        <w:rPr>
          <w:sz w:val="22"/>
          <w:szCs w:val="22"/>
        </w:rPr>
        <w:t>El presupuesto total para Inversión de la Caja de Vivienda Popular para 2026 presenta una disminución del -14,37% con respecto al presupuesto vigente a septiembre de 2025.</w:t>
      </w:r>
    </w:p>
    <w:p w:rsidR="00743DA6" w:rsidRDefault="00743DA6">
      <w:pPr>
        <w:pBdr>
          <w:top w:val="nil"/>
          <w:left w:val="nil"/>
          <w:bottom w:val="nil"/>
          <w:right w:val="nil"/>
          <w:between w:val="nil"/>
        </w:pBdr>
        <w:spacing w:line="259" w:lineRule="auto"/>
        <w:jc w:val="both"/>
        <w:rPr>
          <w:sz w:val="22"/>
          <w:szCs w:val="22"/>
        </w:rPr>
      </w:pPr>
    </w:p>
    <w:p w:rsidR="00743DA6" w:rsidRDefault="00D95D19">
      <w:pPr>
        <w:pBdr>
          <w:top w:val="nil"/>
          <w:left w:val="nil"/>
          <w:bottom w:val="nil"/>
          <w:right w:val="nil"/>
          <w:between w:val="nil"/>
        </w:pBdr>
        <w:spacing w:line="259" w:lineRule="auto"/>
        <w:jc w:val="center"/>
        <w:rPr>
          <w:sz w:val="18"/>
          <w:szCs w:val="18"/>
        </w:rPr>
      </w:pPr>
      <w:r>
        <w:rPr>
          <w:sz w:val="22"/>
          <w:szCs w:val="22"/>
        </w:rPr>
        <w:t>Tabla x. Programación Presupuestal Comparada de Caja de la Vivienda Popular Vigencia 2025 y Proyecto de Presupuesto 2026</w:t>
      </w:r>
      <w:r>
        <w:rPr>
          <w:rFonts w:ascii="Calibri" w:eastAsia="Calibri" w:hAnsi="Calibri" w:cs="Calibri"/>
          <w:noProof/>
          <w:sz w:val="22"/>
          <w:szCs w:val="22"/>
          <w:lang w:val="es-CO"/>
        </w:rPr>
        <w:drawing>
          <wp:inline distT="114300" distB="114300" distL="114300" distR="114300">
            <wp:extent cx="5724343" cy="1545281"/>
            <wp:effectExtent l="0" t="0" r="0" b="0"/>
            <wp:docPr id="212739959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62"/>
                    <a:srcRect/>
                    <a:stretch>
                      <a:fillRect/>
                    </a:stretch>
                  </pic:blipFill>
                  <pic:spPr>
                    <a:xfrm>
                      <a:off x="0" y="0"/>
                      <a:ext cx="5724343" cy="1545281"/>
                    </a:xfrm>
                    <a:prstGeom prst="rect">
                      <a:avLst/>
                    </a:prstGeom>
                    <a:ln/>
                  </pic:spPr>
                </pic:pic>
              </a:graphicData>
            </a:graphic>
          </wp:inline>
        </w:drawing>
      </w:r>
      <w:r>
        <w:rPr>
          <w:b/>
          <w:bCs/>
          <w:sz w:val="18"/>
          <w:szCs w:val="18"/>
        </w:rPr>
        <w:t>Fuente:</w:t>
      </w:r>
      <w:r>
        <w:rPr>
          <w:sz w:val="18"/>
          <w:szCs w:val="18"/>
        </w:rPr>
        <w:t xml:space="preserve"> Elaboración propia (2025) con base en la información suministrada de la SDH (2025).</w:t>
      </w:r>
    </w:p>
    <w:p w:rsidR="00743DA6" w:rsidRDefault="00D95D19">
      <w:pPr>
        <w:spacing w:before="240" w:line="276" w:lineRule="auto"/>
        <w:jc w:val="both"/>
        <w:rPr>
          <w:b/>
          <w:bCs/>
          <w:sz w:val="22"/>
          <w:szCs w:val="22"/>
        </w:rPr>
      </w:pPr>
      <w:r>
        <w:rPr>
          <w:b/>
          <w:bCs/>
          <w:sz w:val="22"/>
          <w:szCs w:val="22"/>
        </w:rPr>
        <w:t>Proyectos con Mayor Disminución</w:t>
      </w:r>
    </w:p>
    <w:p w:rsidR="00743DA6" w:rsidRDefault="00D95D19">
      <w:pPr>
        <w:numPr>
          <w:ilvl w:val="0"/>
          <w:numId w:val="1"/>
        </w:numPr>
        <w:spacing w:before="240" w:line="276" w:lineRule="auto"/>
        <w:jc w:val="both"/>
        <w:rPr>
          <w:sz w:val="22"/>
          <w:szCs w:val="22"/>
        </w:rPr>
      </w:pPr>
      <w:r>
        <w:rPr>
          <w:sz w:val="22"/>
          <w:szCs w:val="22"/>
        </w:rPr>
        <w:t xml:space="preserve">Fortalecimiento Administrativo, Financiero, Legal, Social y Técnico: Este proyecto presenta la mayor reducción porcentual, con una disminución del -40,22%. </w:t>
      </w:r>
    </w:p>
    <w:p w:rsidR="00743DA6" w:rsidRDefault="00D95D19">
      <w:pPr>
        <w:numPr>
          <w:ilvl w:val="0"/>
          <w:numId w:val="1"/>
        </w:numPr>
        <w:spacing w:line="276" w:lineRule="auto"/>
        <w:jc w:val="both"/>
        <w:rPr>
          <w:sz w:val="22"/>
          <w:szCs w:val="22"/>
        </w:rPr>
      </w:pPr>
      <w:r>
        <w:rPr>
          <w:sz w:val="22"/>
          <w:szCs w:val="22"/>
        </w:rPr>
        <w:t>Saneamiento y Titulación de Predios y Apoyo a la Adquisición de VIS: Este es el proyecto con el mayor monto presupuestado ($58.756 millones) y muestra una reducción significativa del -13,91%.</w:t>
      </w:r>
    </w:p>
    <w:p w:rsidR="00743DA6" w:rsidRDefault="00D95D19">
      <w:pPr>
        <w:numPr>
          <w:ilvl w:val="0"/>
          <w:numId w:val="1"/>
        </w:numPr>
        <w:spacing w:line="276" w:lineRule="auto"/>
        <w:jc w:val="both"/>
        <w:rPr>
          <w:sz w:val="22"/>
          <w:szCs w:val="22"/>
        </w:rPr>
      </w:pPr>
      <w:r>
        <w:rPr>
          <w:sz w:val="22"/>
          <w:szCs w:val="22"/>
        </w:rPr>
        <w:t>Gestión Social Integral para Mitigación de Riesgos y Reubicación de Familias: Este proyecto tiene la menor reducción porcentual, con una disminución del -7,77%.</w:t>
      </w:r>
    </w:p>
    <w:p w:rsidR="00743DA6" w:rsidRDefault="00743DA6">
      <w:pPr>
        <w:pBdr>
          <w:top w:val="nil"/>
          <w:left w:val="nil"/>
          <w:bottom w:val="nil"/>
          <w:right w:val="nil"/>
          <w:between w:val="nil"/>
        </w:pBdr>
        <w:spacing w:line="259" w:lineRule="auto"/>
      </w:pPr>
    </w:p>
    <w:p w:rsidR="00743DA6" w:rsidRDefault="00D95D19">
      <w:pPr>
        <w:pBdr>
          <w:top w:val="nil"/>
          <w:left w:val="nil"/>
          <w:bottom w:val="nil"/>
          <w:right w:val="nil"/>
          <w:between w:val="nil"/>
        </w:pBdr>
        <w:spacing w:line="259" w:lineRule="auto"/>
        <w:jc w:val="both"/>
        <w:rPr>
          <w:b/>
          <w:bCs/>
          <w:sz w:val="22"/>
          <w:szCs w:val="22"/>
        </w:rPr>
      </w:pPr>
      <w:r>
        <w:rPr>
          <w:b/>
          <w:bCs/>
          <w:color w:val="000000"/>
          <w:sz w:val="22"/>
          <w:szCs w:val="22"/>
        </w:rPr>
        <w:t>Unidad Administrativa Especial de Servicios Públicos</w:t>
      </w:r>
    </w:p>
    <w:p w:rsidR="00743DA6" w:rsidRDefault="00D95D19">
      <w:pPr>
        <w:spacing w:before="240" w:after="240" w:line="259" w:lineRule="auto"/>
        <w:jc w:val="both"/>
        <w:rPr>
          <w:sz w:val="22"/>
          <w:szCs w:val="22"/>
        </w:rPr>
      </w:pPr>
      <w:r>
        <w:rPr>
          <w:sz w:val="22"/>
          <w:szCs w:val="22"/>
        </w:rPr>
        <w:t>En el periodo 2022–2024 la UAESP muestra un patrón estructural de subejecución de la inversión. El cuadro global de metas registra recursos programados por 190.088 millones de pesos, compromisos por 144.683 millones y giros efectivos por solo 66.133 millones. Es decir, de cada 100 pesos presupuestados apenas se comprometen alrededor de 76 y se pagan efectivamente 35, aproximadamente la mitad de lo comprometido. Esta brecha entre lo que se planea, lo que se contrata y lo que efectivamente se ejecuta constituye un rasgo persistente de la entidad sobre el cual se monta la programación 2025–2026. De manera paralela, el Marco Fiscal de Mediano Plazo señala que en 2024 la UAESP incrementó su ejecución de inversión en 63,1 %, sobre todo por mayor gasto en gestión de residuos sólidos, y que junto con el FFDS concentró el 59 % de la inversión distrital en infraestructura urbana y provisión de servicios públicos y de salud, lo que contrasta con los bajos niveles de giro acumulado en el periodo 2022–2024 y sugiere que el salto de 2024 no corrige un problema de fondo sino que convive con un rezago histórico.</w:t>
      </w:r>
    </w:p>
    <w:p w:rsidR="00743DA6" w:rsidRDefault="00D95D19">
      <w:pPr>
        <w:jc w:val="center"/>
        <w:rPr>
          <w:b/>
          <w:bCs/>
          <w:sz w:val="18"/>
          <w:szCs w:val="18"/>
        </w:rPr>
      </w:pPr>
      <w:r>
        <w:rPr>
          <w:b/>
          <w:bCs/>
          <w:sz w:val="18"/>
          <w:szCs w:val="18"/>
        </w:rPr>
        <w:t>Gráfica x Histórico Presupuestal 2022- 2025 UAESP</w:t>
      </w:r>
    </w:p>
    <w:p w:rsidR="00743DA6" w:rsidRDefault="00D95D19">
      <w:pPr>
        <w:spacing w:before="240" w:after="240" w:line="259" w:lineRule="auto"/>
        <w:jc w:val="both"/>
        <w:rPr>
          <w:sz w:val="18"/>
          <w:szCs w:val="18"/>
        </w:rPr>
      </w:pPr>
      <w:r>
        <w:rPr>
          <w:noProof/>
          <w:sz w:val="18"/>
          <w:szCs w:val="18"/>
          <w:lang w:val="es-CO"/>
        </w:rPr>
        <w:drawing>
          <wp:inline distT="114300" distB="114300" distL="114300" distR="114300">
            <wp:extent cx="5612130" cy="2768600"/>
            <wp:effectExtent l="0" t="0" r="0" b="0"/>
            <wp:docPr id="2127399601"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63"/>
                    <a:srcRect/>
                    <a:stretch>
                      <a:fillRect/>
                    </a:stretch>
                  </pic:blipFill>
                  <pic:spPr>
                    <a:xfrm>
                      <a:off x="0" y="0"/>
                      <a:ext cx="5612130" cy="2768600"/>
                    </a:xfrm>
                    <a:prstGeom prst="rect">
                      <a:avLst/>
                    </a:prstGeom>
                    <a:ln/>
                  </pic:spPr>
                </pic:pic>
              </a:graphicData>
            </a:graphic>
          </wp:inline>
        </w:drawing>
      </w:r>
    </w:p>
    <w:p w:rsidR="00743DA6" w:rsidRDefault="00D95D19">
      <w:pPr>
        <w:jc w:val="center"/>
        <w:rPr>
          <w:sz w:val="22"/>
          <w:szCs w:val="22"/>
        </w:rPr>
      </w:pPr>
      <w:r>
        <w:rPr>
          <w:b/>
          <w:bCs/>
          <w:sz w:val="18"/>
          <w:szCs w:val="18"/>
        </w:rPr>
        <w:t>Fuente:</w:t>
      </w:r>
      <w:r>
        <w:rPr>
          <w:sz w:val="18"/>
          <w:szCs w:val="18"/>
        </w:rPr>
        <w:t xml:space="preserve"> Elaboración propia (2025) con base en la información suministrada de la SDH (2025</w:t>
      </w:r>
      <w:r>
        <w:rPr>
          <w:sz w:val="16"/>
          <w:szCs w:val="16"/>
        </w:rPr>
        <w:t>)</w:t>
      </w:r>
    </w:p>
    <w:p w:rsidR="00743DA6" w:rsidRDefault="00D95D19">
      <w:pPr>
        <w:spacing w:before="240" w:after="240" w:line="259" w:lineRule="auto"/>
        <w:jc w:val="both"/>
        <w:rPr>
          <w:sz w:val="22"/>
          <w:szCs w:val="22"/>
        </w:rPr>
      </w:pPr>
      <w:r>
        <w:rPr>
          <w:sz w:val="22"/>
          <w:szCs w:val="22"/>
        </w:rPr>
        <w:t>En materia de funcionamiento y financiamiento, los documentos fiscales muestran una entidad altamente dependiente de las transferencias del nivel central y con una carga creciente de riesgos y obligaciones. A septiembre de 2025 la ejecución de gastos de funcionamiento alcanza el 91,2 %, lo que indica que la UAESP sí logra girar con relativa agilidad los recursos que sostienen su operación interna. Las transferencias hacia el sector descentralizado que corresponden a la UAESP representan el 92,6 % de sus ingresos fiscales en 2022, el 87,9 % en 2023, el 96,7 % en 2024 y el 94,3 % en 2025, evidenciando una dependencia estructural de los aportes del Distrito que limita su autonomía financiera. El contingente judicial asciende a 107 mil millones de pesos en 2024 con 101 procesos y a 98 mil millones en 2025 con 100 procesos, mientras que los pasivos exigibles programados para 2026 alcanzan 31.403 millones. Es decir, la UAESP llega a la vigencia 2026 con una exposición relevante a litigios y obligaciones financieras que compiten directamente con la capacidad de ejecutar nueva inversión misional.</w:t>
      </w:r>
    </w:p>
    <w:p w:rsidR="00743DA6" w:rsidRDefault="00D95D19">
      <w:pPr>
        <w:spacing w:before="240" w:after="240" w:line="259" w:lineRule="auto"/>
        <w:jc w:val="both"/>
        <w:rPr>
          <w:sz w:val="22"/>
          <w:szCs w:val="22"/>
        </w:rPr>
      </w:pPr>
      <w:r>
        <w:rPr>
          <w:sz w:val="22"/>
          <w:szCs w:val="22"/>
        </w:rPr>
        <w:t>La estructura de financiación del presupuesto 2026 confirma esta dependencia. Según el Anexo 2, los ingresos administrados por la UAESP caen de 31.269,8 millones en 2025 a 21.057,4 millones en 2026, lo que implica una reducción del 32,66 %. Dentro de estos, los ingresos corrientes bajan 18,72 % y los recursos de capital, fundamentalmente recursos del balance, se reducen 33,88 %. La exposición de motivos precisa que estos recursos provienen del cierre fiscal de 2024, de saldos no incorporados en 2025 de los operadores de aseo y de ingresos propios destinados al pago de pasivos exigibles por 9.543 millones, lo que indica que buena parte de los recursos de capital se orientan a sanear obligaciones acumuladas y no a nueva inversión. En contraste, las transferencias de la administración central pasan de 515.639,3 millones en 2025 a 547.345,4 millones en 2026, un incremento del 6,15 %, de manera que el total de rentas e ingresos de la entidad aumenta de 546.909,1 millones a 568.402,8 millones, es decir 3,93 %, a costa de una mayor dependencia de aportes del Distrito y de una caída significativa de los ingresos propios.</w:t>
      </w:r>
    </w:p>
    <w:p w:rsidR="00743DA6" w:rsidRDefault="00D95D19">
      <w:pPr>
        <w:spacing w:before="240" w:after="240" w:line="259" w:lineRule="auto"/>
        <w:jc w:val="both"/>
        <w:rPr>
          <w:sz w:val="22"/>
          <w:szCs w:val="22"/>
        </w:rPr>
      </w:pPr>
      <w:r>
        <w:rPr>
          <w:sz w:val="22"/>
          <w:szCs w:val="22"/>
        </w:rPr>
        <w:t>La composición funcional y programática del gasto 2026 refuerza este diagnóstico. El Cuadro 16 de la exposición de motivos establece que la UAESP contará con 340.834,2 millones en gastos de funcionamiento y 227.568,6 millones en inversión. Dentro del funcionamiento, el Cuadro 18 desagrega 2.638,2 millones en gastos de personal, 12.710,1 millones en adquisición de bienes y servicios y 301.742,2 millones en transferencias de funcionamiento, rubro que coincide con el concepto “alumbrado público-UAESP” y que presenta una reducción de 4,4 % frente a 2025 (de 315.781 a 301.742 millones). Es decir, casi la totalidad del funcionamiento corresponde a transferencias para alumbrado, mientras la nómina directa y la contratación de bienes y servicios de la entidad son marginales en términos relativos.</w:t>
      </w:r>
    </w:p>
    <w:p w:rsidR="00743DA6" w:rsidRDefault="00D95D19">
      <w:pPr>
        <w:spacing w:before="240" w:after="240" w:line="259" w:lineRule="auto"/>
        <w:jc w:val="both"/>
        <w:rPr>
          <w:sz w:val="22"/>
          <w:szCs w:val="22"/>
        </w:rPr>
      </w:pPr>
      <w:r>
        <w:rPr>
          <w:sz w:val="22"/>
          <w:szCs w:val="22"/>
        </w:rPr>
        <w:t>En el plano de la inversión, el PMR 2026 (Anexo 4) confirma que la UAESP programa 227.569 millones distribuidos en seis productos. Los servicios de gestión de residuos sólidos en recolección, barrido y limpieza concentran 116.661 millones, el 51,26 % del total; el componente de aprovechamiento recibe 51.273 millones, el 22,53 %; y la disposición final tiene 29.500 millones, el 12,96 %. En conjunto, los residuos sólidos absorben 197.434 millones, es decir el 86,75 % de la inversión UAESP. Los servicios de alumbrado público cuentan con 10.600 millones (4,66 %), los servicios de apoyo para fortalecimiento institucional con 10.440 millones (4,59 %) y los servicios funerarios en cementerios distritales con 9.095 millones (4 %). Esta estructura es consistente con el énfasis histórico en saneamiento básico y residuos, pero también muestra que cementerios, alumbrado y fortalecimiento institucional compiten por un tramo relativamente pequeño de la inversión.</w:t>
      </w:r>
    </w:p>
    <w:p w:rsidR="00743DA6" w:rsidRDefault="00743DA6">
      <w:pPr>
        <w:spacing w:before="240" w:after="240" w:line="259" w:lineRule="auto"/>
        <w:jc w:val="center"/>
        <w:rPr>
          <w:sz w:val="18"/>
          <w:szCs w:val="18"/>
        </w:rPr>
      </w:pPr>
    </w:p>
    <w:p w:rsidR="00743DA6" w:rsidRDefault="00D95D19">
      <w:pPr>
        <w:spacing w:before="240" w:after="240" w:line="276" w:lineRule="auto"/>
        <w:jc w:val="both"/>
        <w:rPr>
          <w:sz w:val="18"/>
          <w:szCs w:val="18"/>
        </w:rPr>
      </w:pPr>
      <w:r>
        <w:rPr>
          <w:b/>
          <w:bCs/>
          <w:sz w:val="18"/>
          <w:szCs w:val="18"/>
        </w:rPr>
        <w:t xml:space="preserve">Tabla X. Programación Presupuestal Comparada de UAESP Vigencia 2025 y Proyecto de Presupuesto 2026. </w:t>
      </w:r>
    </w:p>
    <w:p w:rsidR="00743DA6" w:rsidRDefault="00743DA6">
      <w:pPr>
        <w:spacing w:line="259" w:lineRule="auto"/>
        <w:jc w:val="both"/>
        <w:rPr>
          <w:sz w:val="18"/>
          <w:szCs w:val="18"/>
        </w:rPr>
      </w:pPr>
    </w:p>
    <w:sdt>
      <w:sdtPr>
        <w:rPr>
          <w:rFonts w:ascii="Arial" w:eastAsia="Arial" w:hAnsi="Arial" w:cs="Arial"/>
          <w:sz w:val="24"/>
          <w:szCs w:val="24"/>
          <w:lang w:val="es" w:eastAsia="es-CO"/>
        </w:rPr>
        <w:tag w:val="goog_rdk_1001"/>
        <w:id w:val="930759766"/>
        <w:lock w:val="contentLocked"/>
      </w:sdtPr>
      <w:sdtEndPr/>
      <w:sdtContent>
        <w:tbl>
          <w:tblPr>
            <w:tblStyle w:val="afffffffff"/>
            <w:tblpPr w:leftFromText="180" w:rightFromText="180" w:topFromText="180" w:bottomFromText="180" w:horzAnchor="margin" w:tblpXSpec="center" w:tblpYSpec="top"/>
            <w:tblW w:w="8865" w:type="dxa"/>
            <w:jc w:val="center"/>
            <w:tblBorders>
              <w:top w:val="nil"/>
              <w:left w:val="nil"/>
              <w:bottom w:val="nil"/>
              <w:right w:val="nil"/>
              <w:insideH w:val="nil"/>
              <w:insideV w:val="nil"/>
            </w:tblBorders>
            <w:tblLayout w:type="fixed"/>
            <w:tblLook w:val="0600" w:firstRow="0" w:lastRow="0" w:firstColumn="0" w:lastColumn="0" w:noHBand="1" w:noVBand="1"/>
          </w:tblPr>
          <w:tblGrid>
            <w:gridCol w:w="2040"/>
            <w:gridCol w:w="1485"/>
            <w:gridCol w:w="1470"/>
            <w:gridCol w:w="1290"/>
            <w:gridCol w:w="1080"/>
            <w:gridCol w:w="1500"/>
          </w:tblGrid>
          <w:tr w:rsidR="00743DA6">
            <w:trPr>
              <w:trHeight w:val="1515"/>
              <w:jc w:val="center"/>
            </w:trPr>
            <w:tc>
              <w:tcPr>
                <w:tcW w:w="204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center"/>
                  <w:rPr>
                    <w:rFonts w:ascii="Arial" w:eastAsia="Arial" w:hAnsi="Arial" w:cs="Arial"/>
                    <w:sz w:val="18"/>
                    <w:szCs w:val="18"/>
                  </w:rPr>
                </w:pPr>
                <w:r>
                  <w:rPr>
                    <w:rFonts w:ascii="Arial" w:eastAsia="Arial" w:hAnsi="Arial" w:cs="Arial"/>
                    <w:b/>
                    <w:bCs/>
                    <w:sz w:val="18"/>
                    <w:szCs w:val="18"/>
                  </w:rPr>
                  <w:t>Proyectos de inversión</w:t>
                </w:r>
              </w:p>
            </w:tc>
            <w:tc>
              <w:tcPr>
                <w:tcW w:w="148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center"/>
                  <w:rPr>
                    <w:rFonts w:ascii="Arial" w:eastAsia="Arial" w:hAnsi="Arial" w:cs="Arial"/>
                    <w:sz w:val="18"/>
                    <w:szCs w:val="18"/>
                  </w:rPr>
                </w:pPr>
                <w:r>
                  <w:rPr>
                    <w:rFonts w:ascii="Arial" w:eastAsia="Arial" w:hAnsi="Arial" w:cs="Arial"/>
                    <w:b/>
                    <w:bCs/>
                    <w:sz w:val="18"/>
                    <w:szCs w:val="18"/>
                  </w:rPr>
                  <w:t xml:space="preserve"> Presupuesto programado para el 2025 </w:t>
                </w:r>
              </w:p>
            </w:tc>
            <w:tc>
              <w:tcPr>
                <w:tcW w:w="147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center"/>
                  <w:rPr>
                    <w:rFonts w:ascii="Arial" w:eastAsia="Arial" w:hAnsi="Arial" w:cs="Arial"/>
                    <w:sz w:val="18"/>
                    <w:szCs w:val="18"/>
                  </w:rPr>
                </w:pPr>
                <w:r>
                  <w:rPr>
                    <w:rFonts w:ascii="Arial" w:eastAsia="Arial" w:hAnsi="Arial" w:cs="Arial"/>
                    <w:b/>
                    <w:bCs/>
                    <w:sz w:val="18"/>
                    <w:szCs w:val="18"/>
                  </w:rPr>
                  <w:t xml:space="preserve"> Presupuesto comprometido para el 2025 </w:t>
                </w:r>
              </w:p>
            </w:tc>
            <w:tc>
              <w:tcPr>
                <w:tcW w:w="129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center"/>
                  <w:rPr>
                    <w:rFonts w:ascii="Arial" w:eastAsia="Arial" w:hAnsi="Arial" w:cs="Arial"/>
                    <w:sz w:val="18"/>
                    <w:szCs w:val="18"/>
                  </w:rPr>
                </w:pPr>
                <w:r>
                  <w:rPr>
                    <w:rFonts w:ascii="Arial" w:eastAsia="Arial" w:hAnsi="Arial" w:cs="Arial"/>
                    <w:b/>
                    <w:bCs/>
                    <w:sz w:val="18"/>
                    <w:szCs w:val="18"/>
                  </w:rPr>
                  <w:t xml:space="preserve"> Presupuesto girados para el 2025</w:t>
                </w:r>
              </w:p>
            </w:tc>
            <w:tc>
              <w:tcPr>
                <w:tcW w:w="108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center"/>
                  <w:rPr>
                    <w:rFonts w:ascii="Arial" w:eastAsia="Arial" w:hAnsi="Arial" w:cs="Arial"/>
                    <w:sz w:val="18"/>
                    <w:szCs w:val="18"/>
                  </w:rPr>
                </w:pPr>
                <w:r>
                  <w:rPr>
                    <w:rFonts w:ascii="Arial" w:eastAsia="Arial" w:hAnsi="Arial" w:cs="Arial"/>
                    <w:b/>
                    <w:bCs/>
                    <w:sz w:val="18"/>
                    <w:szCs w:val="18"/>
                  </w:rPr>
                  <w:t xml:space="preserve">  Presupuesto programado para el 2026 </w:t>
                </w:r>
              </w:p>
            </w:tc>
            <w:tc>
              <w:tcPr>
                <w:tcW w:w="150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center"/>
                  <w:rPr>
                    <w:rFonts w:ascii="Arial" w:eastAsia="Arial" w:hAnsi="Arial" w:cs="Arial"/>
                    <w:sz w:val="18"/>
                    <w:szCs w:val="18"/>
                  </w:rPr>
                </w:pPr>
                <w:r>
                  <w:rPr>
                    <w:rFonts w:ascii="Arial" w:eastAsia="Arial" w:hAnsi="Arial" w:cs="Arial"/>
                    <w:b/>
                    <w:bCs/>
                    <w:sz w:val="18"/>
                    <w:szCs w:val="18"/>
                  </w:rPr>
                  <w:t xml:space="preserve"> Diferencia entre lo programado en el 2025 con lo programado en el 2026</w:t>
                </w:r>
              </w:p>
            </w:tc>
          </w:tr>
          <w:tr w:rsidR="00743DA6">
            <w:trPr>
              <w:trHeight w:val="455"/>
              <w:jc w:val="center"/>
            </w:trPr>
            <w:tc>
              <w:tcPr>
                <w:tcW w:w="204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Fortalecimiento de la actividad de aprovechamiento en Bogotá D.C.</w:t>
                </w:r>
              </w:p>
            </w:tc>
            <w:tc>
              <w:tcPr>
                <w:tcW w:w="148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$26.264,16</w:t>
                </w:r>
              </w:p>
            </w:tc>
            <w:tc>
              <w:tcPr>
                <w:tcW w:w="147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$22.117,93</w:t>
                </w:r>
              </w:p>
            </w:tc>
            <w:tc>
              <w:tcPr>
                <w:tcW w:w="129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$3.386,71</w:t>
                </w:r>
              </w:p>
            </w:tc>
            <w:tc>
              <w:tcPr>
                <w:tcW w:w="108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$51.272,70</w:t>
                </w:r>
              </w:p>
            </w:tc>
            <w:tc>
              <w:tcPr>
                <w:tcW w:w="150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$25.008,54</w:t>
                </w:r>
              </w:p>
            </w:tc>
          </w:tr>
          <w:tr w:rsidR="00743DA6">
            <w:trPr>
              <w:trHeight w:val="455"/>
              <w:jc w:val="center"/>
            </w:trPr>
            <w:tc>
              <w:tcPr>
                <w:tcW w:w="204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Fortalecimiento de la operación y de la prestación del servicio de Alumbrado Público en Bogotá D.C.</w:t>
                </w:r>
              </w:p>
            </w:tc>
            <w:tc>
              <w:tcPr>
                <w:tcW w:w="148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$22.325,79</w:t>
                </w:r>
              </w:p>
            </w:tc>
            <w:tc>
              <w:tcPr>
                <w:tcW w:w="147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$10.663,00</w:t>
                </w:r>
              </w:p>
            </w:tc>
            <w:tc>
              <w:tcPr>
                <w:tcW w:w="129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$854,73</w:t>
                </w:r>
              </w:p>
            </w:tc>
            <w:tc>
              <w:tcPr>
                <w:tcW w:w="108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$10.600,00</w:t>
                </w:r>
              </w:p>
            </w:tc>
            <w:tc>
              <w:tcPr>
                <w:tcW w:w="150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-$11.725,79</w:t>
                </w:r>
              </w:p>
            </w:tc>
          </w:tr>
          <w:tr w:rsidR="00743DA6">
            <w:trPr>
              <w:trHeight w:val="455"/>
              <w:jc w:val="center"/>
            </w:trPr>
            <w:tc>
              <w:tcPr>
                <w:tcW w:w="204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Fortalecimiento de los procesos de planificación y gestión de la UAESP Bogotá D.C.</w:t>
                </w:r>
              </w:p>
            </w:tc>
            <w:tc>
              <w:tcPr>
                <w:tcW w:w="148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$8.443,86</w:t>
                </w:r>
              </w:p>
            </w:tc>
            <w:tc>
              <w:tcPr>
                <w:tcW w:w="147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$7.951,94</w:t>
                </w:r>
              </w:p>
            </w:tc>
            <w:tc>
              <w:tcPr>
                <w:tcW w:w="129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4.285,87</w:t>
                </w:r>
              </w:p>
            </w:tc>
            <w:tc>
              <w:tcPr>
                <w:tcW w:w="108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$10.440,00</w:t>
                </w:r>
              </w:p>
            </w:tc>
            <w:tc>
              <w:tcPr>
                <w:tcW w:w="150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1.996,14</w:t>
                </w:r>
              </w:p>
            </w:tc>
          </w:tr>
          <w:tr w:rsidR="00743DA6">
            <w:trPr>
              <w:trHeight w:val="455"/>
              <w:jc w:val="center"/>
            </w:trPr>
            <w:tc>
              <w:tcPr>
                <w:tcW w:w="204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Implementación de estrategias integrales para la gestión de residuos sólidos de puntos críticos y de arrojo clandestino como garantía de área limpia en el espacio público de Bogotá D.C.</w:t>
                </w:r>
              </w:p>
            </w:tc>
            <w:tc>
              <w:tcPr>
                <w:tcW w:w="148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$85.121,29</w:t>
                </w:r>
              </w:p>
            </w:tc>
            <w:tc>
              <w:tcPr>
                <w:tcW w:w="147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$60.676,33</w:t>
                </w:r>
              </w:p>
            </w:tc>
            <w:tc>
              <w:tcPr>
                <w:tcW w:w="129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$33.393,07</w:t>
                </w:r>
              </w:p>
            </w:tc>
            <w:tc>
              <w:tcPr>
                <w:tcW w:w="108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$75.479,30</w:t>
                </w:r>
              </w:p>
            </w:tc>
            <w:tc>
              <w:tcPr>
                <w:tcW w:w="150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9.641,99</w:t>
                </w:r>
              </w:p>
            </w:tc>
          </w:tr>
          <w:tr w:rsidR="00743DA6">
            <w:trPr>
              <w:trHeight w:val="455"/>
              <w:jc w:val="center"/>
            </w:trPr>
            <w:tc>
              <w:tcPr>
                <w:tcW w:w="204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Implementación de un modelo de Gestión integral de residuos como garantía de saneamiento básico bajo un enfoque de economía circular Bogotá D.C.</w:t>
                </w:r>
              </w:p>
            </w:tc>
            <w:tc>
              <w:tcPr>
                <w:tcW w:w="148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$25.379,00</w:t>
                </w:r>
              </w:p>
            </w:tc>
            <w:tc>
              <w:tcPr>
                <w:tcW w:w="147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$10.276,36</w:t>
                </w:r>
              </w:p>
            </w:tc>
            <w:tc>
              <w:tcPr>
                <w:tcW w:w="129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         2.111,35</w:t>
                </w:r>
              </w:p>
            </w:tc>
            <w:tc>
              <w:tcPr>
                <w:tcW w:w="108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$41.181,24</w:t>
                </w:r>
              </w:p>
            </w:tc>
            <w:tc>
              <w:tcPr>
                <w:tcW w:w="150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$15.802,24</w:t>
                </w:r>
              </w:p>
            </w:tc>
          </w:tr>
          <w:tr w:rsidR="00743DA6">
            <w:trPr>
              <w:trHeight w:val="455"/>
              <w:jc w:val="center"/>
            </w:trPr>
            <w:tc>
              <w:tcPr>
                <w:tcW w:w="204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Implementación y transformación del Relleno Sanitario Doña Juana hacia un parque Tecnológico en manejo de residuos, Bogotá D.C.</w:t>
                </w:r>
              </w:p>
            </w:tc>
            <w:tc>
              <w:tcPr>
                <w:tcW w:w="148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$21.303,97</w:t>
                </w:r>
              </w:p>
            </w:tc>
            <w:tc>
              <w:tcPr>
                <w:tcW w:w="147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$10.787,28</w:t>
                </w:r>
              </w:p>
            </w:tc>
            <w:tc>
              <w:tcPr>
                <w:tcW w:w="129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5.432,68</w:t>
                </w:r>
              </w:p>
            </w:tc>
            <w:tc>
              <w:tcPr>
                <w:tcW w:w="108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$29.499,93</w:t>
                </w:r>
              </w:p>
            </w:tc>
            <w:tc>
              <w:tcPr>
                <w:tcW w:w="150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          </w:t>
                </w:r>
                <w:r>
                  <w:rPr>
                    <w:rFonts w:ascii="Arial" w:eastAsia="Arial" w:hAnsi="Arial" w:cs="Arial"/>
                    <w:sz w:val="18"/>
                    <w:szCs w:val="18"/>
                  </w:rPr>
                  <w:tab/>
                  <w:t>8.195,96</w:t>
                </w:r>
              </w:p>
            </w:tc>
          </w:tr>
          <w:tr w:rsidR="00743DA6">
            <w:trPr>
              <w:trHeight w:val="455"/>
              <w:jc w:val="center"/>
            </w:trPr>
            <w:tc>
              <w:tcPr>
                <w:tcW w:w="204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Mejoramiento de la infraestructura y de los servicios de destino final en los cementerios públicos distritales Bogotá D.C.</w:t>
                </w:r>
              </w:p>
            </w:tc>
            <w:tc>
              <w:tcPr>
                <w:tcW w:w="148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$9.326,43</w:t>
                </w:r>
              </w:p>
            </w:tc>
            <w:tc>
              <w:tcPr>
                <w:tcW w:w="147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$3.340,57</w:t>
                </w:r>
              </w:p>
            </w:tc>
            <w:tc>
              <w:tcPr>
                <w:tcW w:w="129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$1.651,81</w:t>
                </w:r>
              </w:p>
            </w:tc>
            <w:tc>
              <w:tcPr>
                <w:tcW w:w="108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$9.095,42</w:t>
                </w:r>
              </w:p>
            </w:tc>
            <w:tc>
              <w:tcPr>
                <w:tcW w:w="150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231,01</w:t>
                </w:r>
              </w:p>
            </w:tc>
          </w:tr>
          <w:tr w:rsidR="00743DA6">
            <w:trPr>
              <w:trHeight w:val="455"/>
              <w:jc w:val="center"/>
            </w:trPr>
            <w:tc>
              <w:tcPr>
                <w:tcW w:w="204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Total general</w:t>
                </w:r>
              </w:p>
            </w:tc>
            <w:tc>
              <w:tcPr>
                <w:tcW w:w="1485"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$198.164,49</w:t>
                </w:r>
              </w:p>
            </w:tc>
            <w:tc>
              <w:tcPr>
                <w:tcW w:w="147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$125.813,41</w:t>
                </w:r>
              </w:p>
            </w:tc>
            <w:tc>
              <w:tcPr>
                <w:tcW w:w="129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$51.116,23</w:t>
                </w:r>
              </w:p>
            </w:tc>
            <w:tc>
              <w:tcPr>
                <w:tcW w:w="108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$227.568,59</w:t>
                </w:r>
              </w:p>
            </w:tc>
            <w:tc>
              <w:tcPr>
                <w:tcW w:w="150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743DA6" w:rsidRDefault="00D95D19">
                <w:pPr>
                  <w:spacing w:line="259" w:lineRule="auto"/>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sz w:val="18"/>
                    <w:szCs w:val="18"/>
                  </w:rPr>
                  <w:tab/>
                  <w:t>$29.404,10</w:t>
                </w:r>
              </w:p>
            </w:tc>
          </w:tr>
        </w:tbl>
      </w:sdtContent>
    </w:sdt>
    <w:p w:rsidR="00743DA6" w:rsidRDefault="00D95D19">
      <w:pPr>
        <w:spacing w:before="240" w:after="240" w:line="276" w:lineRule="auto"/>
        <w:jc w:val="both"/>
        <w:rPr>
          <w:sz w:val="18"/>
          <w:szCs w:val="18"/>
        </w:rPr>
      </w:pPr>
      <w:r>
        <w:rPr>
          <w:b/>
          <w:bCs/>
          <w:sz w:val="18"/>
          <w:szCs w:val="18"/>
        </w:rPr>
        <w:t>Fuente:</w:t>
      </w:r>
      <w:r>
        <w:rPr>
          <w:sz w:val="18"/>
          <w:szCs w:val="18"/>
        </w:rPr>
        <w:t xml:space="preserve"> Elaboración propia (2025) con base en la matriz comparativa de la Secretaría Distrital de Hacienda (2025).</w:t>
      </w:r>
    </w:p>
    <w:p w:rsidR="00743DA6" w:rsidRDefault="00D95D19">
      <w:pPr>
        <w:spacing w:before="240" w:after="240" w:line="259" w:lineRule="auto"/>
        <w:jc w:val="both"/>
        <w:rPr>
          <w:sz w:val="22"/>
          <w:szCs w:val="22"/>
        </w:rPr>
      </w:pPr>
      <w:r>
        <w:rPr>
          <w:sz w:val="22"/>
          <w:szCs w:val="22"/>
        </w:rPr>
        <w:t>Cuando se observa la ejecución 2025 por grandes proyectos y su correspondencia con la programación 2026, emergen varios hallazgos críticos. En el agregado de los proyectos misionales analizados, en 2025 se programan 198.164,5 millones, se comprometen 125.813,4 millones y se giran efectivamente 51.116,2 millones. La UAESP, por tanto, solo compromete en promedio el 63,5 % de lo que programa en estos frentes y solo gira el 25,8 % de lo programado, de manera que alrededor del 40,6 % de los compromisos se traducen en pagos efectivos. A pesar de este rezago, el programado 2026 en los mismos proyectos sube a 227.568,6 millones, con un incremento de 29.404,1 millones, lo que equivale a un aumento aproximado del 15 %. Se trata, en consecuencia, de una entidad que incrementa su techo de gasto de inversión sin haber demostrado capacidad para ejecutar la inversión vigente.</w:t>
      </w:r>
    </w:p>
    <w:p w:rsidR="00743DA6" w:rsidRDefault="00D95D19">
      <w:pPr>
        <w:spacing w:before="240" w:after="240" w:line="259" w:lineRule="auto"/>
        <w:jc w:val="both"/>
        <w:rPr>
          <w:sz w:val="22"/>
          <w:szCs w:val="22"/>
        </w:rPr>
      </w:pPr>
      <w:r>
        <w:rPr>
          <w:sz w:val="22"/>
          <w:szCs w:val="22"/>
        </w:rPr>
        <w:t>En aprovechamiento, el proyecto de fortalecimiento de la actividad de aprovechamiento en Bogotá ilustra de manera clara este desajuste. En 2025 se programan 26.264,2 millones de pesos, se comprometen 22.117,9 millones, es decir, cerca del 84 % del programado, pero solo se giran 3.386,7 millones, equivalentes a 13 % del presupuesto y a 15 % de lo comprometido. En otras palabras, la UAESP firma contratos o actos administrativos de gasto, pero la ejecución física y financiera no avanza al mismo ritmo. Pese a ello, para 2026 se proyecta duplicar prácticamente el presupuesto de este proyecto, llevándolo a 51.272,7 millones, con un aumento de 25.008,5 millones. La misma lógica se observa en el modelo de gestión integral de residuos con enfoque de economía circular: en 2025 se programan 25.379 millones, pero solo se comprometen 10.276,4 millones (40,5 %) y se giran 2.111,4 millones (8,3 % del prog), mientras que para 2026 el programado salta a 41.181,2 millones, con un incremento de 15.802,2 millones. En este caso, los tableros de metas muestran además que la meta 2185 de economía circular registra 0 % de avance de vigencia en 2025, de modo que el aumento de recursos no está soportado en resultados previos ni en un rediseño visible de la estrategia.</w:t>
      </w:r>
    </w:p>
    <w:p w:rsidR="00743DA6" w:rsidRDefault="00D95D19">
      <w:pPr>
        <w:spacing w:before="240" w:after="240" w:line="259" w:lineRule="auto"/>
        <w:jc w:val="both"/>
        <w:rPr>
          <w:sz w:val="22"/>
          <w:szCs w:val="22"/>
        </w:rPr>
      </w:pPr>
      <w:r>
        <w:rPr>
          <w:sz w:val="22"/>
          <w:szCs w:val="22"/>
        </w:rPr>
        <w:t>La situación en el proyecto de implementación y transformación del Relleno Sanitario Doña Juana hacia un parque tecnológico también resulta preocupante. En 2025 se programan 21.304 millones, se comprometen 10.787,3 millones, aproximadamente la mitad, y se giran 5.432,7 millones, el 25,5 % del presupuesto. Al mismo tiempo, la meta 2187 asociada a energías limpias y parque tecnológico reporta 0 % de avance de vigencia y de plan. A pesar de ello, el presupuesto 2026 eleva esta línea a 29.499,9 millones, un crecimiento de 8.196 millones, y dentro de la meta 2193 se fortalece significativamente el componente de plan de manejo ambiental mientras se recorta el plan de gestión social con las comunidades vecinas. Esto configura un patrón donde se incrementa la inversión en componentes técnicos y de obra dura sin que exista certeza sobre la capacidad de ejecución ni sobre la articulación con los derechos de las comunidades directamente afectadas por el relleno.</w:t>
      </w:r>
    </w:p>
    <w:p w:rsidR="00743DA6" w:rsidRDefault="00D95D19">
      <w:pPr>
        <w:spacing w:before="240" w:after="240" w:line="259" w:lineRule="auto"/>
        <w:jc w:val="both"/>
        <w:rPr>
          <w:sz w:val="22"/>
          <w:szCs w:val="22"/>
        </w:rPr>
      </w:pPr>
      <w:r>
        <w:rPr>
          <w:sz w:val="22"/>
          <w:szCs w:val="22"/>
        </w:rPr>
        <w:t>En contraste, algunas líneas directamente ligadas a la calidad de vida en los territorios se recortan o estancan. El proyecto de fortalecimiento de la operación y prestación del servicio de alumbrado público presenta en 2025 un programado de 22.325,8 millones, compromisos por 10.663 millones, menos de la mitad, y giros efectivos por solo 854,7 millones, lo que equivale a alrededor del 3,8 % del presupuesto. No obstante, en los tableros de metas la meta 1971 se reporta con 100 % de avance de vigencia y 50 % de avance del plan de cuatrienio, a pesar de que la ejecución financiera es mínima. Sobre esa base, el presupuesto 2026 reduce este proyecto a 10.600 millones, un recorte de 11.725,8 millones, es decir casi la mitad. Las cifras sugieren que el sistema de seguimiento de metas está desalineado con la ejecución presupuestal y está permitiendo declarar cumplimientos plenos sin respaldo en giros y, por tanto, sin garantía de que los barrios que aún requieren modernización de alumbrado, ampliación de cobertura o migración a tecnologías eficientes y seguras estén siendo efectivamente intervenidos.</w:t>
      </w:r>
    </w:p>
    <w:p w:rsidR="00743DA6" w:rsidRDefault="00D95D19">
      <w:pPr>
        <w:spacing w:before="240" w:after="240" w:line="259" w:lineRule="auto"/>
        <w:jc w:val="both"/>
        <w:rPr>
          <w:sz w:val="22"/>
          <w:szCs w:val="22"/>
        </w:rPr>
      </w:pPr>
      <w:r>
        <w:rPr>
          <w:sz w:val="22"/>
          <w:szCs w:val="22"/>
        </w:rPr>
        <w:t>Una dinámica similar se observa en la gestión de puntos críticos y arrojo clandestino de residuos. En 2025 este proyecto suma 85.121,3 millones programados, 60.676,3 millones comprometidos y 33.393,1 millones girados, de forma que se paga cerca del 39,2 % del presupuesto, con cierta mejor ejecución relativa frente a otras líneas. Para 2026, sin embargo, la programación se reduce a 75.479,3 millones, un recorte de 9.642 millones. Al revisar el detalle por actividades, se constata que la reducción se concentra en control, eliminación de puntos críticos y estrategias de información y cultura ciudadana, mientras se sostiene la lógica de recoger y disponer residuos ya acumulados. El tablero de metas reporta para la meta 1972 un avance de vigencia del 100 % y un avance de plan del 90,63 %, lo que refuerza la idea de que se prioriza mostrar puntos atendidos y toneladas dispuestas, sin consolidar inversiones estructurales en prevención, en cultura ciudadana y en corresponsabilidad comunitaria.</w:t>
      </w:r>
    </w:p>
    <w:p w:rsidR="00743DA6" w:rsidRDefault="00D95D19">
      <w:pPr>
        <w:spacing w:before="240" w:after="240" w:line="259" w:lineRule="auto"/>
        <w:jc w:val="both"/>
        <w:rPr>
          <w:sz w:val="22"/>
          <w:szCs w:val="22"/>
        </w:rPr>
      </w:pPr>
      <w:r>
        <w:rPr>
          <w:sz w:val="22"/>
          <w:szCs w:val="22"/>
        </w:rPr>
        <w:t>En la política funeraria, la programación también contrasta con los resultados. El proyecto de mejoramiento de la infraestructura y servicios de destino final en cementerios distritales cuenta en 2025 con 9.326,4 millones programados, 3.340,6 millones comprometidos y 1.651,8 millones girados, lo que equivale a una ejecución del 17,7 % sobre el presupuesto. Las metas 2244 y 2252, asociadas al aumento de espacios en bóvedas, osarios y cenizarios y a las intervenciones en el Cementerio Central, registran 0 % de avance de vigencia y 0 % de avance de plan, a pesar de tener recursos disponibles. Para 2026 el proyecto se mantiene prácticamente constante, con 9.095,4 millones programados y una reducción marginal de 231 millones. El riesgo es que la ciudad continúe con un déficit acumulado en servicios funerarios y en dignificación de los cementerios públicos, sin un plan claro de superación del rezago ni un redireccionamiento del gasto hacia resultados verificables.</w:t>
      </w:r>
    </w:p>
    <w:p w:rsidR="00743DA6" w:rsidRDefault="00D95D19">
      <w:pPr>
        <w:spacing w:before="240" w:after="240" w:line="259" w:lineRule="auto"/>
        <w:jc w:val="both"/>
        <w:rPr>
          <w:sz w:val="22"/>
          <w:szCs w:val="22"/>
        </w:rPr>
      </w:pPr>
      <w:r>
        <w:rPr>
          <w:sz w:val="22"/>
          <w:szCs w:val="22"/>
        </w:rPr>
        <w:t>La única línea donde se observa una ejecución financieramente sólida y un crecimiento moderado en 2026 es el fortalecimiento de los procesos de planificación y gestión de la UAESP. En este proyecto, en 2025 se programan 8.443,9 millones, se comprometen 7.951,9 millones, lo que equivale al 94,2 % del presupuesto, y se giran 4.285,9 millones, alrededor del 50,8 %. Las metas de fortalecimiento institucional reportan un avance de vigencia del 92,3 % y un avance de plan del 47,21 %. En coherencia con ello, en 2026 se programan 10.440 millones, con un incremento de 1.996,1 millones. Esto muestra que la UAESP sí es capaz de ejecutar con eficiencia cuando se trata de procesos internos de apoyo, planificación y gestión, lo que contrasta de manera evidente con las dificultades para ejecutar proyectos misionales en territorio.</w:t>
      </w:r>
    </w:p>
    <w:p w:rsidR="00743DA6" w:rsidRDefault="00D95D19">
      <w:pPr>
        <w:spacing w:before="240" w:after="240" w:line="259" w:lineRule="auto"/>
        <w:jc w:val="both"/>
        <w:rPr>
          <w:sz w:val="22"/>
          <w:szCs w:val="22"/>
        </w:rPr>
      </w:pPr>
      <w:r>
        <w:rPr>
          <w:sz w:val="22"/>
          <w:szCs w:val="22"/>
        </w:rPr>
        <w:t>Integrando el conjunto de documentos y cifras, pueden sintetizarse varios hallazgos de fondo. En primer lugar, la UAESP exhibe una subejecución crónica de la inversión: entre 2022 y 2024 solo gira el 35 % de lo programado, y en 2025, en los proyectos misionales analizados, apenas ejecuta financieramente una cuarta parte del presupuesto. En segundo lugar, la entidad se sostiene cada vez más sobre transferencias del Distrito, mientras sus ingresos propios se reducen en más de un tercio y parte importante de los recursos de capital se destinan a cubrir pasivos exigibles y riesgos judiciales, lo que debilita el margen para inversión transformadora. En tercer lugar, la programación 2026 no corrige estos desequilibrios; por el contrario, los profundiza al aumentar de manera significativa recursos en proyectos que muestran 0 % o muy baja ejecución en 2025 –como economía circular, energías limpias en Doña Juana o fortalecimiento de recicladores–, al tiempo que recorta o estanca líneas de alto impacto comunitario como alumbrado, cultura ciudadana en puntos críticos, gestión social en torno al relleno y servicios funerarios. Finalmente, existe un problema grave de coherencia entre los sistemas de seguimiento de metas y la ejecución presupuestal: metas reportadas en 100 % de avance se apoyan en giros que no superan el 4 % del presupuesto anual, lo que impide a la ciudadanía y al Concejo evaluar de manera transparente los resultados de la política pública.</w:t>
      </w:r>
    </w:p>
    <w:p w:rsidR="00743DA6" w:rsidRDefault="00D95D19">
      <w:pPr>
        <w:spacing w:before="240" w:after="240" w:line="259" w:lineRule="auto"/>
        <w:jc w:val="both"/>
        <w:rPr>
          <w:sz w:val="22"/>
          <w:szCs w:val="22"/>
        </w:rPr>
      </w:pPr>
      <w:r>
        <w:rPr>
          <w:sz w:val="22"/>
          <w:szCs w:val="22"/>
        </w:rPr>
        <w:t>Una UAESP que ejecuta poco de lo que programa, que aumenta presupuestos en líneas sin resultados, que traslada recursos hacia interventorías, seguimiento técnico y fortalecimiento institucional mientras recorta inversión comunitaria y territorial, corre el riesgo de vaciar de contenido transformador la política de servicios públicos y de reproducir inequidades ambientales y sociales. La UAESP debe dejar de ser una entidad que acumula presupuestos, pasivos y promesas y convertirse en un instrumento efectivo de justicia ambiental y de dignificación de los servicios públicos al servicio de las mayorías populares de Bogotá.</w:t>
      </w:r>
    </w:p>
    <w:p w:rsidR="00743DA6" w:rsidRDefault="00743DA6">
      <w:pPr>
        <w:spacing w:line="259" w:lineRule="auto"/>
      </w:pPr>
    </w:p>
    <w:p w:rsidR="00743DA6" w:rsidRDefault="00743DA6">
      <w:pPr>
        <w:numPr>
          <w:ilvl w:val="0"/>
          <w:numId w:val="35"/>
        </w:numPr>
        <w:pBdr>
          <w:top w:val="nil"/>
          <w:left w:val="nil"/>
          <w:bottom w:val="nil"/>
          <w:right w:val="nil"/>
          <w:between w:val="nil"/>
        </w:pBdr>
        <w:spacing w:after="160" w:line="259" w:lineRule="auto"/>
      </w:pPr>
    </w:p>
    <w:p w:rsidR="00743DA6" w:rsidRDefault="00D95D19">
      <w:pPr>
        <w:rPr>
          <w:b/>
          <w:bCs/>
        </w:rPr>
      </w:pPr>
      <w:r>
        <w:rPr>
          <w:b/>
          <w:bCs/>
        </w:rPr>
        <w:t>Secretaría General</w:t>
      </w:r>
    </w:p>
    <w:p w:rsidR="00743DA6" w:rsidRDefault="00743DA6">
      <w:pPr>
        <w:rPr>
          <w:b/>
          <w:bCs/>
        </w:rPr>
      </w:pPr>
    </w:p>
    <w:p w:rsidR="00743DA6" w:rsidRDefault="00D95D19">
      <w:pPr>
        <w:jc w:val="center"/>
      </w:pPr>
      <w:r>
        <w:rPr>
          <w:sz w:val="22"/>
          <w:szCs w:val="22"/>
        </w:rPr>
        <w:t>Gráfica x Histórico Presupuestal 2022- 2025 de Secretaría General</w:t>
      </w:r>
      <w:r>
        <w:rPr>
          <w:noProof/>
          <w:lang w:val="es-CO"/>
        </w:rPr>
        <w:drawing>
          <wp:inline distT="114300" distB="114300" distL="114300" distR="114300">
            <wp:extent cx="5612130" cy="2882900"/>
            <wp:effectExtent l="0" t="0" r="0" b="0"/>
            <wp:docPr id="212739959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64"/>
                    <a:srcRect/>
                    <a:stretch>
                      <a:fillRect/>
                    </a:stretch>
                  </pic:blipFill>
                  <pic:spPr>
                    <a:xfrm>
                      <a:off x="0" y="0"/>
                      <a:ext cx="5612130" cy="28829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p>
    <w:p w:rsidR="00743DA6" w:rsidRDefault="00D95D19">
      <w:pPr>
        <w:spacing w:before="240" w:after="240"/>
        <w:jc w:val="both"/>
        <w:rPr>
          <w:sz w:val="22"/>
          <w:szCs w:val="22"/>
        </w:rPr>
      </w:pPr>
      <w:r>
        <w:rPr>
          <w:sz w:val="22"/>
          <w:szCs w:val="22"/>
        </w:rPr>
        <w:t>La Secretaría General de la Alcaldía Mayor de Bogotá, dentro del rubro de Gastos e Inversiones, presenta un presupuesto general de inversión de $112.773.126.000 para 2026, lo que representa una disminución total del -6,18% en comparación con el presupuesto vigente a septiembre de 2025 $120.197.556.000</w:t>
      </w:r>
    </w:p>
    <w:p w:rsidR="00743DA6" w:rsidRDefault="00D95D19">
      <w:pPr>
        <w:spacing w:before="240" w:after="240"/>
        <w:jc w:val="both"/>
        <w:rPr>
          <w:sz w:val="22"/>
          <w:szCs w:val="22"/>
        </w:rPr>
      </w:pPr>
      <w:r>
        <w:rPr>
          <w:sz w:val="22"/>
          <w:szCs w:val="22"/>
        </w:rPr>
        <w:t>El proyecto de inversión con la mayor disminución porcentual es el relacionado con el Acuerdo de Paz y víctimas del conflicto armado, con una reducción del -22,79%</w:t>
      </w:r>
    </w:p>
    <w:p w:rsidR="00743DA6" w:rsidRDefault="00D95D19">
      <w:pPr>
        <w:spacing w:before="240" w:after="240"/>
        <w:jc w:val="both"/>
        <w:rPr>
          <w:sz w:val="22"/>
          <w:szCs w:val="22"/>
        </w:rPr>
      </w:pPr>
      <w:r>
        <w:rPr>
          <w:sz w:val="22"/>
          <w:szCs w:val="22"/>
        </w:rPr>
        <w:t>Es importante notar que el presupuesto total de la Secretaría General para 2026 es de $272.560.655.000, lo que representa una ligera disminución del -0,33% con respecto al presupuesto vigente. Sin embargo, esta disminución en la inversión es un retroceso, ya que el aumento es el presupuesto de Funcionamiento del 4,25%.</w:t>
      </w:r>
    </w:p>
    <w:p w:rsidR="00743DA6" w:rsidRDefault="00D95D19">
      <w:pPr>
        <w:spacing w:before="240" w:after="240"/>
        <w:jc w:val="center"/>
        <w:rPr>
          <w:sz w:val="18"/>
          <w:szCs w:val="18"/>
        </w:rPr>
      </w:pPr>
      <w:r>
        <w:rPr>
          <w:sz w:val="22"/>
          <w:szCs w:val="22"/>
        </w:rPr>
        <w:t>Tabla x. Programación Presupuestal Comparada de Secretaría General Vigencia 2025 y Proyecto de Presupuesto 2026</w:t>
      </w:r>
      <w:r>
        <w:rPr>
          <w:noProof/>
          <w:lang w:val="es-CO"/>
        </w:rPr>
        <w:drawing>
          <wp:inline distT="114300" distB="114300" distL="114300" distR="114300">
            <wp:extent cx="5612130" cy="4343400"/>
            <wp:effectExtent l="0" t="0" r="0" b="0"/>
            <wp:docPr id="2127399629"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65"/>
                    <a:srcRect/>
                    <a:stretch>
                      <a:fillRect/>
                    </a:stretch>
                  </pic:blipFill>
                  <pic:spPr>
                    <a:xfrm>
                      <a:off x="0" y="0"/>
                      <a:ext cx="5612130" cy="4343400"/>
                    </a:xfrm>
                    <a:prstGeom prst="rect">
                      <a:avLst/>
                    </a:prstGeom>
                    <a:ln/>
                  </pic:spPr>
                </pic:pic>
              </a:graphicData>
            </a:graphic>
          </wp:inline>
        </w:drawing>
      </w:r>
      <w:r>
        <w:rPr>
          <w:b/>
          <w:bCs/>
          <w:sz w:val="16"/>
          <w:szCs w:val="16"/>
        </w:rPr>
        <w:t>Fuente:</w:t>
      </w:r>
      <w:r>
        <w:rPr>
          <w:sz w:val="16"/>
          <w:szCs w:val="16"/>
        </w:rPr>
        <w:t xml:space="preserve"> Elaboración propia (2025) con base en la información suministrada de la SDH (2025).</w:t>
      </w:r>
      <w:r>
        <w:rPr>
          <w:sz w:val="18"/>
          <w:szCs w:val="18"/>
        </w:rPr>
        <w:t xml:space="preserve"> </w:t>
      </w:r>
    </w:p>
    <w:p w:rsidR="00743DA6" w:rsidRDefault="00D95D19">
      <w:pPr>
        <w:numPr>
          <w:ilvl w:val="0"/>
          <w:numId w:val="64"/>
        </w:numPr>
        <w:spacing w:before="240" w:line="276" w:lineRule="auto"/>
        <w:jc w:val="both"/>
        <w:rPr>
          <w:sz w:val="20"/>
          <w:szCs w:val="20"/>
        </w:rPr>
      </w:pPr>
      <w:r>
        <w:rPr>
          <w:sz w:val="20"/>
          <w:szCs w:val="20"/>
        </w:rPr>
        <w:t>Fortalecimiento de capacidades institucionales y de la sociedad civil para la implementación del acuerdo de paz, la memoria, y los derechos de las víctimas del conflicto armado en Bogotá D.C.</w:t>
      </w:r>
    </w:p>
    <w:p w:rsidR="00743DA6" w:rsidRDefault="00D95D19">
      <w:pPr>
        <w:numPr>
          <w:ilvl w:val="0"/>
          <w:numId w:val="64"/>
        </w:numPr>
        <w:spacing w:line="276" w:lineRule="auto"/>
        <w:jc w:val="both"/>
        <w:rPr>
          <w:sz w:val="20"/>
          <w:szCs w:val="20"/>
        </w:rPr>
      </w:pPr>
      <w:r>
        <w:rPr>
          <w:sz w:val="20"/>
          <w:szCs w:val="20"/>
        </w:rPr>
        <w:t>Implementar 20 Proceso(s) pedagógicos que contribuyan al cumplimiento de los objetivos del Sistema Integral de Verdad, Justicia Reparación y No Repetición</w:t>
      </w:r>
      <w:r>
        <w:rPr>
          <w:b/>
          <w:bCs/>
          <w:sz w:val="20"/>
          <w:szCs w:val="20"/>
        </w:rPr>
        <w:t>.</w:t>
      </w:r>
    </w:p>
    <w:p w:rsidR="00743DA6" w:rsidRDefault="00D95D19">
      <w:pPr>
        <w:numPr>
          <w:ilvl w:val="0"/>
          <w:numId w:val="64"/>
        </w:numPr>
        <w:spacing w:line="276" w:lineRule="auto"/>
        <w:jc w:val="both"/>
        <w:rPr>
          <w:sz w:val="20"/>
          <w:szCs w:val="20"/>
        </w:rPr>
      </w:pPr>
      <w:r>
        <w:rPr>
          <w:sz w:val="20"/>
          <w:szCs w:val="20"/>
        </w:rPr>
        <w:t>Implementar el 100 Porciento de las medidas de atención y asistencia a víctimas, conforme a la competencia del Distrito</w:t>
      </w:r>
    </w:p>
    <w:p w:rsidR="00743DA6" w:rsidRDefault="00D95D19">
      <w:pPr>
        <w:spacing w:before="240" w:line="276" w:lineRule="auto"/>
        <w:ind w:left="720"/>
        <w:jc w:val="both"/>
        <w:rPr>
          <w:sz w:val="20"/>
          <w:szCs w:val="20"/>
        </w:rPr>
      </w:pPr>
      <w:r>
        <w:rPr>
          <w:sz w:val="20"/>
          <w:szCs w:val="20"/>
        </w:rPr>
        <w:t xml:space="preserve">$ 25.328,73  </w:t>
      </w:r>
      <w:r>
        <w:rPr>
          <w:sz w:val="20"/>
          <w:szCs w:val="20"/>
        </w:rPr>
        <w:tab/>
        <w:t xml:space="preserve"> $ 24.039,73 </w:t>
      </w:r>
      <w:r>
        <w:rPr>
          <w:sz w:val="20"/>
          <w:szCs w:val="20"/>
        </w:rPr>
        <w:tab/>
        <w:t xml:space="preserve"> $ 13.219,29 </w:t>
      </w:r>
      <w:r>
        <w:rPr>
          <w:sz w:val="20"/>
          <w:szCs w:val="20"/>
        </w:rPr>
        <w:tab/>
        <w:t xml:space="preserve"> $ 16.374,72 </w:t>
      </w:r>
      <w:r>
        <w:rPr>
          <w:sz w:val="20"/>
          <w:szCs w:val="20"/>
        </w:rPr>
        <w:tab/>
        <w:t>-$ 8.954,01</w:t>
      </w:r>
    </w:p>
    <w:p w:rsidR="00743DA6" w:rsidRDefault="00D95D19">
      <w:pPr>
        <w:numPr>
          <w:ilvl w:val="0"/>
          <w:numId w:val="64"/>
        </w:numPr>
        <w:spacing w:before="240" w:line="276" w:lineRule="auto"/>
        <w:jc w:val="both"/>
        <w:rPr>
          <w:sz w:val="22"/>
          <w:szCs w:val="22"/>
        </w:rPr>
      </w:pPr>
      <w:r>
        <w:rPr>
          <w:sz w:val="22"/>
          <w:szCs w:val="22"/>
        </w:rPr>
        <w:t>Implementar en 8 Localidad(es) con zonas rurales de Bogotá una solución para el cierre de brecha digital.</w:t>
      </w:r>
    </w:p>
    <w:p w:rsidR="00743DA6" w:rsidRDefault="00D95D19">
      <w:pPr>
        <w:numPr>
          <w:ilvl w:val="0"/>
          <w:numId w:val="64"/>
        </w:numPr>
        <w:spacing w:line="276" w:lineRule="auto"/>
        <w:jc w:val="both"/>
        <w:rPr>
          <w:sz w:val="22"/>
          <w:szCs w:val="22"/>
        </w:rPr>
      </w:pPr>
      <w:r>
        <w:rPr>
          <w:sz w:val="22"/>
          <w:szCs w:val="22"/>
        </w:rPr>
        <w:t>Implementar 1 Plan(es) de conectividad pública y social para mejorar el acceso al servicio público esencial de Internet.</w:t>
      </w:r>
    </w:p>
    <w:p w:rsidR="00743DA6" w:rsidRDefault="00D95D19">
      <w:pPr>
        <w:spacing w:before="240" w:line="276" w:lineRule="auto"/>
        <w:ind w:left="720"/>
        <w:jc w:val="both"/>
        <w:rPr>
          <w:sz w:val="22"/>
          <w:szCs w:val="22"/>
        </w:rPr>
      </w:pPr>
      <w:r>
        <w:rPr>
          <w:sz w:val="22"/>
          <w:szCs w:val="22"/>
        </w:rPr>
        <w:t xml:space="preserve">$ 1.956,64    </w:t>
      </w:r>
      <w:r>
        <w:rPr>
          <w:sz w:val="22"/>
          <w:szCs w:val="22"/>
        </w:rPr>
        <w:tab/>
        <w:t xml:space="preserve"> $ 1.956,64   </w:t>
      </w:r>
      <w:r>
        <w:rPr>
          <w:sz w:val="22"/>
          <w:szCs w:val="22"/>
        </w:rPr>
        <w:tab/>
        <w:t xml:space="preserve"> $ 665,64      </w:t>
      </w:r>
      <w:r>
        <w:rPr>
          <w:sz w:val="22"/>
          <w:szCs w:val="22"/>
        </w:rPr>
        <w:tab/>
        <w:t xml:space="preserve"> $ 1.943,49   </w:t>
      </w:r>
      <w:r>
        <w:rPr>
          <w:sz w:val="22"/>
          <w:szCs w:val="22"/>
        </w:rPr>
        <w:tab/>
        <w:t>-$ 13,15</w:t>
      </w:r>
    </w:p>
    <w:p w:rsidR="00743DA6" w:rsidRDefault="00743DA6">
      <w:pPr>
        <w:rPr>
          <w:sz w:val="20"/>
          <w:szCs w:val="20"/>
        </w:rPr>
      </w:pPr>
    </w:p>
    <w:p w:rsidR="00743DA6" w:rsidRDefault="00D95D19">
      <w:pPr>
        <w:numPr>
          <w:ilvl w:val="0"/>
          <w:numId w:val="36"/>
        </w:numPr>
        <w:pBdr>
          <w:top w:val="nil"/>
          <w:left w:val="nil"/>
          <w:bottom w:val="nil"/>
          <w:right w:val="nil"/>
          <w:between w:val="nil"/>
        </w:pBdr>
        <w:spacing w:after="160" w:line="259" w:lineRule="auto"/>
      </w:pPr>
      <w:r>
        <w:rPr>
          <w:color w:val="000000"/>
        </w:rPr>
        <w:t>Departamento Administrativo del Servicio Civil Distrital</w:t>
      </w:r>
    </w:p>
    <w:p w:rsidR="00743DA6" w:rsidRDefault="00743DA6">
      <w:pPr>
        <w:rPr>
          <w:b/>
          <w:bCs/>
        </w:rPr>
      </w:pPr>
    </w:p>
    <w:p w:rsidR="00743DA6" w:rsidRDefault="00743DA6"/>
    <w:p w:rsidR="00743DA6" w:rsidRDefault="00D95D19">
      <w:r>
        <w:rPr>
          <w:b/>
          <w:bCs/>
          <w:sz w:val="22"/>
          <w:szCs w:val="22"/>
        </w:rPr>
        <w:t>Universidad Distrital Francisco José de Caldas</w:t>
      </w:r>
    </w:p>
    <w:p w:rsidR="00743DA6" w:rsidRDefault="00D95D19">
      <w:pPr>
        <w:spacing w:before="240" w:after="240"/>
        <w:jc w:val="both"/>
        <w:rPr>
          <w:sz w:val="22"/>
          <w:szCs w:val="22"/>
        </w:rPr>
      </w:pPr>
      <w:r>
        <w:rPr>
          <w:sz w:val="22"/>
          <w:szCs w:val="22"/>
        </w:rPr>
        <w:t>El seguimiento al comportamiento presupuestal reciente de la Universidad Distrital permite identificar un rasgo estructural que rara vez se problematiza con rigor: la institución crece en apariencia, pero se debilita en capacidad real. Aunque las cifras agregadas sugieren una expansión nominal del presupuesto, dicha expansión no se traduce en un fortalecimiento efectivo de la autonomía financiera ni en una mejora sostenible de su operación. La UDFJC presenta un aumento sostenido en gastos de funcionamiento, la categoría más inelástica, más condicionada por obligaciones legales y menos susceptible de redistribución, mientras que la inversión directa permanece en niveles insuficientes para transformar las condiciones materiales de la universidad. Es precisamente este rubro el que determina si un proyecto universitario puede ampliar su infraestructura, renovar laboratorios, consolidar campus multicampus o sostener una política robusta de investigación y creación.</w:t>
      </w:r>
    </w:p>
    <w:p w:rsidR="00743DA6" w:rsidRDefault="00D95D19">
      <w:pPr>
        <w:spacing w:before="240" w:after="240"/>
        <w:jc w:val="both"/>
        <w:rPr>
          <w:sz w:val="22"/>
          <w:szCs w:val="22"/>
        </w:rPr>
      </w:pPr>
      <w:r>
        <w:rPr>
          <w:sz w:val="22"/>
          <w:szCs w:val="22"/>
        </w:rPr>
        <w:t>Este desequilibrio no es un accidente administrativo sino el resultado de un arreglo institucional que traslada cargas crecientes a la universidad sin proveer el soporte financiero que dichas cargas requieren. A ello se adiciona el efecto de los incrementos salariales definidos por normas nacionales y convenciones colectivas, los cuales aumentan el gasto rígido de manera automática, independientemente de la dinámica fiscal del Distrito. Como la administración distrital no actualiza la base presupuestal al ritmo de esas obligaciones, la universidad debe cubrir incrementos obligatorios con recursos propios cada vez más limitados, deteriorando su margen de maniobra para cumplir funciones misionales de docencia, investigación y extensión.</w:t>
      </w:r>
    </w:p>
    <w:p w:rsidR="00743DA6" w:rsidRDefault="00D95D19">
      <w:pPr>
        <w:spacing w:before="240" w:after="240"/>
        <w:jc w:val="both"/>
        <w:rPr>
          <w:sz w:val="22"/>
          <w:szCs w:val="22"/>
        </w:rPr>
      </w:pPr>
      <w:r>
        <w:rPr>
          <w:sz w:val="22"/>
          <w:szCs w:val="22"/>
        </w:rPr>
        <w:t>La distorsión aparece con claridad en la trayectoria comparada del período 2022–2026, tal como se evidencia en las gráficas siguientes. Mientras el gasto de funcionamiento pasa de $333,4 mil millones en 2022 a $502,1 mil millones en 2026, lo que implica un crecimiento del 50,5 %, la inversión directa, pese a aumentar un 79,7 %, parte de una base diez veces menor, lo que impide corregir rezagos históricos y profundiza la brecha entre gasto rígido y capacidad estratégica. La lectura conjunta de estas tendencias confirma que el modelo vigente expande obligaciones, pero no capacidades; incrementa nómina sin soporte financiero, pero no infraestructura; asegura continuidad mínima, pero no permite avanzar hacia una universidad fortalecida en investigación, equipamiento y presencia territorial.</w:t>
      </w:r>
    </w:p>
    <w:p w:rsidR="00743DA6" w:rsidRDefault="00D95D19">
      <w:pPr>
        <w:spacing w:before="240" w:after="240" w:line="276" w:lineRule="auto"/>
        <w:jc w:val="center"/>
      </w:pPr>
      <w:r>
        <w:rPr>
          <w:b/>
          <w:bCs/>
          <w:sz w:val="22"/>
          <w:szCs w:val="22"/>
        </w:rPr>
        <w:t xml:space="preserve">Evolución del presupuesto de Funcionamiento de la UD-FJC (2002 - 2026).  </w:t>
      </w:r>
      <w:r>
        <w:rPr>
          <w:noProof/>
          <w:lang w:val="es-CO"/>
        </w:rPr>
        <w:drawing>
          <wp:inline distT="114300" distB="114300" distL="114300" distR="114300">
            <wp:extent cx="5612130" cy="2781300"/>
            <wp:effectExtent l="0" t="0" r="0" b="0"/>
            <wp:docPr id="212739958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6"/>
                    <a:srcRect/>
                    <a:stretch>
                      <a:fillRect/>
                    </a:stretch>
                  </pic:blipFill>
                  <pic:spPr>
                    <a:xfrm>
                      <a:off x="0" y="0"/>
                      <a:ext cx="5612130" cy="2781300"/>
                    </a:xfrm>
                    <a:prstGeom prst="rect">
                      <a:avLst/>
                    </a:prstGeom>
                    <a:ln/>
                  </pic:spPr>
                </pic:pic>
              </a:graphicData>
            </a:graphic>
          </wp:inline>
        </w:drawing>
      </w:r>
    </w:p>
    <w:p w:rsidR="00743DA6" w:rsidRDefault="00D95D19">
      <w:pPr>
        <w:spacing w:before="240" w:after="240" w:line="276" w:lineRule="auto"/>
        <w:jc w:val="center"/>
        <w:rPr>
          <w:sz w:val="18"/>
          <w:szCs w:val="18"/>
        </w:rPr>
      </w:pPr>
      <w:r>
        <w:rPr>
          <w:b/>
          <w:bCs/>
          <w:sz w:val="18"/>
          <w:szCs w:val="18"/>
        </w:rPr>
        <w:t xml:space="preserve">Fuente: </w:t>
      </w:r>
      <w:r>
        <w:rPr>
          <w:sz w:val="18"/>
          <w:szCs w:val="18"/>
        </w:rPr>
        <w:t>Elaboración propia (2025) a partir de la matriz comparativa de la Secretaría Distrital de Hacienda.</w:t>
      </w:r>
    </w:p>
    <w:p w:rsidR="00743DA6" w:rsidRDefault="00D95D19">
      <w:pPr>
        <w:spacing w:before="240" w:after="240" w:line="276" w:lineRule="auto"/>
        <w:jc w:val="center"/>
        <w:rPr>
          <w:sz w:val="22"/>
          <w:szCs w:val="22"/>
        </w:rPr>
      </w:pPr>
      <w:r>
        <w:rPr>
          <w:b/>
          <w:bCs/>
          <w:sz w:val="22"/>
          <w:szCs w:val="22"/>
        </w:rPr>
        <w:t xml:space="preserve">Evolución del presupuesto de Inversión de la UD - FJC (2002 - 2026).   </w:t>
      </w:r>
    </w:p>
    <w:p w:rsidR="00743DA6" w:rsidRDefault="00D95D19">
      <w:pPr>
        <w:spacing w:before="240" w:after="240"/>
        <w:jc w:val="center"/>
      </w:pPr>
      <w:r>
        <w:rPr>
          <w:noProof/>
          <w:lang w:val="es-CO"/>
        </w:rPr>
        <w:drawing>
          <wp:inline distT="114300" distB="114300" distL="114300" distR="114300">
            <wp:extent cx="5334953" cy="2644832"/>
            <wp:effectExtent l="0" t="0" r="0" b="0"/>
            <wp:docPr id="212739959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7"/>
                    <a:srcRect/>
                    <a:stretch>
                      <a:fillRect/>
                    </a:stretch>
                  </pic:blipFill>
                  <pic:spPr>
                    <a:xfrm>
                      <a:off x="0" y="0"/>
                      <a:ext cx="5334953" cy="2644832"/>
                    </a:xfrm>
                    <a:prstGeom prst="rect">
                      <a:avLst/>
                    </a:prstGeom>
                    <a:ln/>
                  </pic:spPr>
                </pic:pic>
              </a:graphicData>
            </a:graphic>
          </wp:inline>
        </w:drawing>
      </w:r>
    </w:p>
    <w:p w:rsidR="00743DA6" w:rsidRDefault="00D95D19">
      <w:pPr>
        <w:spacing w:before="240" w:after="240" w:line="276" w:lineRule="auto"/>
        <w:jc w:val="center"/>
      </w:pPr>
      <w:r>
        <w:rPr>
          <w:b/>
          <w:bCs/>
          <w:sz w:val="18"/>
          <w:szCs w:val="18"/>
        </w:rPr>
        <w:t xml:space="preserve">Fuente: </w:t>
      </w:r>
      <w:r>
        <w:rPr>
          <w:sz w:val="18"/>
          <w:szCs w:val="18"/>
        </w:rPr>
        <w:t>Elaboración propia (2025) a partir de la matriz comparativa de la Secretaría Distrital de Hacienda.</w:t>
      </w:r>
    </w:p>
    <w:p w:rsidR="00743DA6" w:rsidRDefault="00D95D19">
      <w:pPr>
        <w:spacing w:before="240" w:after="240"/>
        <w:jc w:val="both"/>
        <w:rPr>
          <w:sz w:val="22"/>
          <w:szCs w:val="22"/>
        </w:rPr>
      </w:pPr>
      <w:r>
        <w:rPr>
          <w:sz w:val="22"/>
          <w:szCs w:val="22"/>
        </w:rPr>
        <w:t>Para comprender por qué el gasto de funcionamiento de la Universidad Distrital crece aceleradamente y termina absorbiendo una proporción cada vez mayor de la base presupuestal, es imprescindible situar la discusión en el marco de las variaciones macroeconómicas y normativas que condicionan la estructura financiera universitaria. Estos factores no son accesorios: constituyen el núcleo duro de rigidez del gasto, pues determinan incrementos obligatorios en salarios, mesadas pensionales, reconocimiento de puntos docentes (según Decreto 1279 de 2002) y ajustes derivados de convenciones colectivas. La institución no tiene capacidad de alterar esas trayectorias, ya que operan como obligaciones automáticas y recurrentes. Paralelamente, el Distrito no actualiza la base presupuestal al mismo ritmo de estas obligaciones crecientes. El resultado es una presión acumulativa que empuja al alza los costos fijos incluso cuando la universidad no amplía oferta, no abre nuevos programas y no incorpora nuevos proyectos de inversión.</w:t>
      </w:r>
    </w:p>
    <w:p w:rsidR="00743DA6" w:rsidRDefault="00D95D19">
      <w:pPr>
        <w:spacing w:before="240" w:after="240"/>
        <w:jc w:val="both"/>
        <w:rPr>
          <w:sz w:val="22"/>
          <w:szCs w:val="22"/>
        </w:rPr>
      </w:pPr>
      <w:r>
        <w:rPr>
          <w:sz w:val="22"/>
          <w:szCs w:val="22"/>
        </w:rPr>
        <w:t xml:space="preserve">Asimismo, el </w:t>
      </w:r>
      <w:r>
        <w:rPr>
          <w:i/>
          <w:iCs/>
          <w:sz w:val="22"/>
          <w:szCs w:val="22"/>
        </w:rPr>
        <w:t>Sistema de Planeación Institucional</w:t>
      </w:r>
      <w:r>
        <w:rPr>
          <w:sz w:val="22"/>
          <w:szCs w:val="22"/>
        </w:rPr>
        <w:t xml:space="preserve">, definido en el Acuerdo 009 de 2018, y el </w:t>
      </w:r>
      <w:r>
        <w:rPr>
          <w:i/>
          <w:iCs/>
          <w:sz w:val="22"/>
          <w:szCs w:val="22"/>
        </w:rPr>
        <w:t>Estatuto Financiero y Presupuestal</w:t>
      </w:r>
      <w:r>
        <w:rPr>
          <w:sz w:val="22"/>
          <w:szCs w:val="22"/>
        </w:rPr>
        <w:t>, Acuerdo 004 de 2023, establecen una arquitectura robusta para la programación anual del presupuesto: el Plan Estratégico de Desarrollo 2018–2030, el Proyecto Universitario Institucional, el Plan Indicativo 2022–2025, el Plan Operativo General (POG) y el Plan Operativo Anual de Inversiones (POAI). En teoría, estos instrumentos deberían garantizar que el crecimiento del gasto responda a decisiones planificadas, priorizadas y articuladas con la sostenibilidad financiera. Sin embargo, cuando se contrastan estos lineamientos con las obligaciones macroeconómicas que recoge la programación para 2026, se evidencia una contradicción estructural: mientras el andamiaje técnico exige planificación estratégica, las variaciones macroeconómicas terminan imponiendo una ruta de gasto que no necesariamente coincide con las metas misionales de la universidad.</w:t>
      </w:r>
    </w:p>
    <w:p w:rsidR="00743DA6" w:rsidRDefault="00D95D19">
      <w:pPr>
        <w:spacing w:before="240" w:after="240"/>
        <w:jc w:val="both"/>
        <w:rPr>
          <w:sz w:val="22"/>
          <w:szCs w:val="22"/>
        </w:rPr>
      </w:pPr>
      <w:r>
        <w:rPr>
          <w:sz w:val="22"/>
          <w:szCs w:val="22"/>
        </w:rPr>
        <w:t xml:space="preserve">En esa misma línea, los </w:t>
      </w:r>
      <w:r>
        <w:rPr>
          <w:i/>
          <w:iCs/>
          <w:sz w:val="22"/>
          <w:szCs w:val="22"/>
        </w:rPr>
        <w:t>Lineamientos para la formulación del POG y programación presupuestal vigencia 2026</w:t>
      </w:r>
      <w:r>
        <w:rPr>
          <w:sz w:val="22"/>
          <w:szCs w:val="22"/>
        </w:rPr>
        <w:t xml:space="preserve"> (UDFJC, 2026) precisan los supuestos que deben aplicarse para la proyección de la nómina, el cálculo de puntos docentes, los incrementos del salario mínimo, la actualización de mesadas de pensionados y los ajustes propios de los trabajadores oficiales (IPC + 2,4 puntos, en cumplimiento de la Convención Colectiva). Cada una de estas variaciones produce efectos directos sobre el gasto de funcionamiento, incrementándolo incluso en contextos de austeridad. Por ejemplo, la proyección del IPC para 2026 (4,52 %), la variación estimada del salario mínimo (6,42 %), el crecimiento proyectado del valor del punto docente (7,52 %) y el ajuste de los trabajadores oficiales (IPC + 2,4 %) son variables que, al acumularse, generan un crecimiento inercial del gasto que la universidad está obligada a absorber.</w:t>
      </w:r>
    </w:p>
    <w:p w:rsidR="00743DA6" w:rsidRDefault="00D95D19">
      <w:pPr>
        <w:spacing w:before="240" w:after="240"/>
        <w:jc w:val="both"/>
        <w:rPr>
          <w:sz w:val="22"/>
          <w:szCs w:val="22"/>
        </w:rPr>
      </w:pPr>
      <w:r>
        <w:rPr>
          <w:sz w:val="22"/>
          <w:szCs w:val="22"/>
        </w:rPr>
        <w:t xml:space="preserve">Bajo esta perspectiva, el siguiente cuadro, elaborado a partir de la matriz oficial de supuestos incorporada en los </w:t>
      </w:r>
      <w:r>
        <w:rPr>
          <w:i/>
          <w:iCs/>
          <w:sz w:val="22"/>
          <w:szCs w:val="22"/>
        </w:rPr>
        <w:t>Lineamientos para la formulación del POG y programación presupuestal vigencia 2026</w:t>
      </w:r>
      <w:r>
        <w:rPr>
          <w:sz w:val="22"/>
          <w:szCs w:val="22"/>
        </w:rPr>
        <w:t>, sintetiza las variaciones macroeconómicas que explican el comportamiento ascendente del gasto de funcionamiento y permiten comprender la contracción relativa de la inversión. Estas variaciones no son anecdóticas: definen el marco dentro del cual la universidad deberá operar sin que exista un correlato proporcional en la asignación distrital que compense dichas obligaciones.</w:t>
      </w:r>
    </w:p>
    <w:p w:rsidR="00743DA6" w:rsidRDefault="00743DA6">
      <w:pPr>
        <w:spacing w:before="240" w:after="240"/>
        <w:jc w:val="both"/>
        <w:rPr>
          <w:sz w:val="22"/>
          <w:szCs w:val="22"/>
        </w:rPr>
      </w:pPr>
    </w:p>
    <w:p w:rsidR="00743DA6" w:rsidRDefault="00D95D19">
      <w:pPr>
        <w:spacing w:before="240" w:after="240"/>
        <w:jc w:val="center"/>
        <w:rPr>
          <w:b/>
          <w:bCs/>
          <w:sz w:val="22"/>
          <w:szCs w:val="22"/>
        </w:rPr>
      </w:pPr>
      <w:r>
        <w:rPr>
          <w:b/>
          <w:bCs/>
          <w:sz w:val="22"/>
          <w:szCs w:val="22"/>
        </w:rPr>
        <w:t>Tabla X. Supuestos macroeconómicos aplicables a la programación presupuestal 2026.</w:t>
      </w:r>
    </w:p>
    <w:tbl>
      <w:tblPr>
        <w:tblStyle w:val="afffffffff0"/>
        <w:tblW w:w="86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625"/>
        <w:gridCol w:w="675"/>
        <w:gridCol w:w="795"/>
        <w:gridCol w:w="795"/>
        <w:gridCol w:w="675"/>
        <w:gridCol w:w="675"/>
        <w:gridCol w:w="2385"/>
      </w:tblGrid>
      <w:tr w:rsidR="00743DA6">
        <w:trPr>
          <w:trHeight w:val="330"/>
        </w:trPr>
        <w:tc>
          <w:tcPr>
            <w:tcW w:w="26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b/>
                <w:bCs/>
                <w:sz w:val="16"/>
                <w:szCs w:val="16"/>
              </w:rPr>
            </w:pPr>
            <w:r>
              <w:rPr>
                <w:b/>
                <w:bCs/>
                <w:sz w:val="16"/>
                <w:szCs w:val="16"/>
              </w:rPr>
              <w:t>Variable</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b/>
                <w:bCs/>
                <w:sz w:val="16"/>
                <w:szCs w:val="16"/>
              </w:rPr>
            </w:pPr>
            <w:r>
              <w:rPr>
                <w:b/>
                <w:bCs/>
                <w:sz w:val="16"/>
                <w:szCs w:val="16"/>
              </w:rPr>
              <w:t>2022</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b/>
                <w:bCs/>
                <w:sz w:val="16"/>
                <w:szCs w:val="16"/>
              </w:rPr>
            </w:pPr>
            <w:r>
              <w:rPr>
                <w:b/>
                <w:bCs/>
                <w:sz w:val="16"/>
                <w:szCs w:val="16"/>
              </w:rPr>
              <w:t>2023</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b/>
                <w:bCs/>
                <w:sz w:val="16"/>
                <w:szCs w:val="16"/>
              </w:rPr>
            </w:pPr>
            <w:r>
              <w:rPr>
                <w:b/>
                <w:bCs/>
                <w:sz w:val="16"/>
                <w:szCs w:val="16"/>
              </w:rPr>
              <w:t>2024</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b/>
                <w:bCs/>
                <w:sz w:val="16"/>
                <w:szCs w:val="16"/>
              </w:rPr>
            </w:pPr>
            <w:r>
              <w:rPr>
                <w:b/>
                <w:bCs/>
                <w:sz w:val="16"/>
                <w:szCs w:val="16"/>
              </w:rPr>
              <w:t>2025</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b/>
                <w:bCs/>
                <w:sz w:val="16"/>
                <w:szCs w:val="16"/>
              </w:rPr>
            </w:pPr>
            <w:r>
              <w:rPr>
                <w:b/>
                <w:bCs/>
                <w:sz w:val="16"/>
                <w:szCs w:val="16"/>
              </w:rPr>
              <w:t>2026</w:t>
            </w:r>
          </w:p>
        </w:tc>
        <w:tc>
          <w:tcPr>
            <w:tcW w:w="23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b/>
                <w:bCs/>
                <w:sz w:val="16"/>
                <w:szCs w:val="16"/>
              </w:rPr>
            </w:pPr>
            <w:r>
              <w:rPr>
                <w:b/>
                <w:bCs/>
                <w:sz w:val="16"/>
                <w:szCs w:val="16"/>
              </w:rPr>
              <w:t>Fuente</w:t>
            </w:r>
          </w:p>
        </w:tc>
      </w:tr>
      <w:tr w:rsidR="00743DA6">
        <w:trPr>
          <w:trHeight w:val="870"/>
        </w:trPr>
        <w:tc>
          <w:tcPr>
            <w:tcW w:w="26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both"/>
              <w:rPr>
                <w:b/>
                <w:bCs/>
                <w:sz w:val="16"/>
                <w:szCs w:val="16"/>
              </w:rPr>
            </w:pPr>
            <w:r>
              <w:rPr>
                <w:b/>
                <w:bCs/>
                <w:sz w:val="16"/>
                <w:szCs w:val="16"/>
              </w:rPr>
              <w:t>Variación del valor del punto docente – Decreto 1279/2002</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7,26%</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14,62%</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10,88%</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7,0%</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7,52%</w:t>
            </w:r>
          </w:p>
        </w:tc>
        <w:tc>
          <w:tcPr>
            <w:tcW w:w="23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Estimación según tendencia histórica – Decretos Presidencia</w:t>
            </w:r>
          </w:p>
        </w:tc>
      </w:tr>
      <w:tr w:rsidR="00743DA6">
        <w:trPr>
          <w:trHeight w:val="600"/>
        </w:trPr>
        <w:tc>
          <w:tcPr>
            <w:tcW w:w="26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both"/>
              <w:rPr>
                <w:b/>
                <w:bCs/>
                <w:sz w:val="16"/>
                <w:szCs w:val="16"/>
              </w:rPr>
            </w:pPr>
            <w:r>
              <w:rPr>
                <w:b/>
                <w:bCs/>
                <w:sz w:val="16"/>
                <w:szCs w:val="16"/>
              </w:rPr>
              <w:t>Variación del salario de funcionarios públicos</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7,26%</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14,62%</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10,88%</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7,0%</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6,42%</w:t>
            </w:r>
          </w:p>
        </w:tc>
        <w:tc>
          <w:tcPr>
            <w:tcW w:w="23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Cálculo UDFJC</w:t>
            </w:r>
          </w:p>
        </w:tc>
      </w:tr>
      <w:tr w:rsidR="00743DA6">
        <w:trPr>
          <w:trHeight w:val="600"/>
        </w:trPr>
        <w:tc>
          <w:tcPr>
            <w:tcW w:w="26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both"/>
              <w:rPr>
                <w:b/>
                <w:bCs/>
                <w:sz w:val="16"/>
                <w:szCs w:val="16"/>
              </w:rPr>
            </w:pPr>
            <w:r>
              <w:rPr>
                <w:b/>
                <w:bCs/>
                <w:sz w:val="16"/>
                <w:szCs w:val="16"/>
              </w:rPr>
              <w:t>Variación trabajadores oficiales (IPC+2.4%)</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8,02%</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15,52%</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11,68%</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7,6%</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6,92%</w:t>
            </w:r>
          </w:p>
        </w:tc>
        <w:tc>
          <w:tcPr>
            <w:tcW w:w="23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Cálculo UDFJC</w:t>
            </w:r>
          </w:p>
        </w:tc>
      </w:tr>
      <w:tr w:rsidR="00743DA6">
        <w:trPr>
          <w:trHeight w:val="870"/>
        </w:trPr>
        <w:tc>
          <w:tcPr>
            <w:tcW w:w="26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both"/>
              <w:rPr>
                <w:b/>
                <w:bCs/>
                <w:sz w:val="16"/>
                <w:szCs w:val="16"/>
              </w:rPr>
            </w:pPr>
            <w:r>
              <w:rPr>
                <w:b/>
                <w:bCs/>
                <w:sz w:val="16"/>
                <w:szCs w:val="16"/>
              </w:rPr>
              <w:t>Variación mesadas pensionados docentes y administrativos</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5,62%</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13,12%</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9,28%</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5,20%</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4,52%</w:t>
            </w:r>
          </w:p>
        </w:tc>
        <w:tc>
          <w:tcPr>
            <w:tcW w:w="23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SDH</w:t>
            </w:r>
          </w:p>
        </w:tc>
      </w:tr>
      <w:tr w:rsidR="00743DA6">
        <w:trPr>
          <w:trHeight w:val="870"/>
        </w:trPr>
        <w:tc>
          <w:tcPr>
            <w:tcW w:w="26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both"/>
              <w:rPr>
                <w:b/>
                <w:bCs/>
                <w:sz w:val="16"/>
                <w:szCs w:val="16"/>
              </w:rPr>
            </w:pPr>
            <w:r>
              <w:rPr>
                <w:b/>
                <w:bCs/>
                <w:sz w:val="16"/>
                <w:szCs w:val="16"/>
              </w:rPr>
              <w:t>Variación mesadas trabajadores oficiales (IPC+2,4%)</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8,02%</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15,52%</w:t>
            </w:r>
          </w:p>
        </w:tc>
        <w:tc>
          <w:tcPr>
            <w:tcW w:w="7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11,68%</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7,6%</w:t>
            </w:r>
          </w:p>
        </w:tc>
        <w:tc>
          <w:tcPr>
            <w:tcW w:w="67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6,92%</w:t>
            </w:r>
          </w:p>
        </w:tc>
        <w:tc>
          <w:tcPr>
            <w:tcW w:w="23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743DA6" w:rsidRDefault="00D95D19">
            <w:pPr>
              <w:spacing w:before="240" w:line="276" w:lineRule="auto"/>
              <w:jc w:val="center"/>
              <w:rPr>
                <w:sz w:val="16"/>
                <w:szCs w:val="16"/>
              </w:rPr>
            </w:pPr>
            <w:r>
              <w:rPr>
                <w:sz w:val="16"/>
                <w:szCs w:val="16"/>
              </w:rPr>
              <w:t>Cálculo UDFJC</w:t>
            </w:r>
          </w:p>
        </w:tc>
      </w:tr>
    </w:tbl>
    <w:p w:rsidR="00743DA6" w:rsidRDefault="00D95D19">
      <w:pPr>
        <w:spacing w:before="240" w:after="240"/>
        <w:jc w:val="center"/>
        <w:rPr>
          <w:sz w:val="18"/>
          <w:szCs w:val="18"/>
        </w:rPr>
      </w:pPr>
      <w:r>
        <w:rPr>
          <w:b/>
          <w:bCs/>
          <w:sz w:val="18"/>
          <w:szCs w:val="18"/>
        </w:rPr>
        <w:t>Fuente:</w:t>
      </w:r>
      <w:r>
        <w:rPr>
          <w:sz w:val="18"/>
          <w:szCs w:val="18"/>
        </w:rPr>
        <w:t xml:space="preserve"> Elaboración propia (2025) con base en la Circular 006/2025 SDH–SDP y lineamientos de la UDFJC para el POG 2026.</w:t>
      </w:r>
    </w:p>
    <w:p w:rsidR="00743DA6" w:rsidRDefault="00D95D19">
      <w:pPr>
        <w:spacing w:before="240" w:after="240"/>
        <w:jc w:val="both"/>
        <w:rPr>
          <w:sz w:val="22"/>
          <w:szCs w:val="22"/>
        </w:rPr>
      </w:pPr>
      <w:r>
        <w:rPr>
          <w:sz w:val="22"/>
          <w:szCs w:val="22"/>
        </w:rPr>
        <w:t>La magnitud de estas variaciones no es menor: implica que, aun en escenarios de crecimiento moderado del presupuesto, la Universidad debe destinar entre el 70 % y 85 % de los incrementos anuales exclusivamente a absorber las actualizaciones salariales y pensionales. Este comportamiento estructural explica por qué, en la práctica, la inversión directa queda subordinada al ajuste del gasto rígido, reduciendo progresivamente la capacidad de financiar infraestructura nueva, laboratorios, equipamiento tecnológico y expansión de campus.</w:t>
      </w:r>
    </w:p>
    <w:p w:rsidR="00743DA6" w:rsidRDefault="00D95D19">
      <w:pPr>
        <w:spacing w:before="240" w:after="240"/>
        <w:jc w:val="both"/>
        <w:rPr>
          <w:sz w:val="22"/>
          <w:szCs w:val="22"/>
        </w:rPr>
      </w:pPr>
      <w:r>
        <w:rPr>
          <w:sz w:val="22"/>
          <w:szCs w:val="22"/>
        </w:rPr>
        <w:t>En este escenario, resulta imprescindible examinar cómo estas presiones macroeconómicas se trasladan al corazón operativo de la Universidad: sus proyectos de inversión. Las variaciones salariales, los ajustes pensionales y el encarecimiento estructural del gasto rígido no solo tensionan la base presupuestal; además reconfiguran el margen real disponible para financiar infraestructura, equipamiento, investigación aplicada y expansión académica. Dicho de otra manera, la inversión no puede entenderse al margen de las fuerzas que comprimen el presupuesto de funcionamiento: sus posibilidades quedan condicionadas por un sistema de obligaciones que se prioriza automáticamente, relegando las decisiones estratégicas a un espacio cada vez más estrecho.</w:t>
      </w:r>
    </w:p>
    <w:p w:rsidR="00743DA6" w:rsidRDefault="00D95D19">
      <w:pPr>
        <w:spacing w:before="240" w:after="240"/>
        <w:jc w:val="both"/>
        <w:rPr>
          <w:sz w:val="22"/>
          <w:szCs w:val="22"/>
        </w:rPr>
      </w:pPr>
      <w:r>
        <w:rPr>
          <w:sz w:val="22"/>
          <w:szCs w:val="22"/>
        </w:rPr>
        <w:t>Bajo esta lógica, los proyectos de inversión dejan de ser un instrumento para materializar el horizonte académico de largo plazo y pasan a operar como un mecanismo de ajuste que absorbe los costos del desbalance estructural. Por ello, antes de evaluar la pertinencia, consistencia o viabilidad de cada proyecto, o la forma en que se reorganizan entre 2025 y 2026, es indispensable reconocer que llegan a esta programación en condiciones de debilitamiento: son menos numerosos, cuentan con apropiaciones que no crecen al ritmo de las necesidades y se distribuyen en un marco de inversión históricamente insuficiente para una universidad del tamaño y complejidad de la UDFJC.</w:t>
      </w:r>
    </w:p>
    <w:p w:rsidR="00743DA6" w:rsidRDefault="00D95D19">
      <w:pPr>
        <w:spacing w:before="240" w:after="240"/>
        <w:jc w:val="both"/>
        <w:rPr>
          <w:sz w:val="22"/>
          <w:szCs w:val="22"/>
        </w:rPr>
      </w:pPr>
      <w:r>
        <w:rPr>
          <w:sz w:val="22"/>
          <w:szCs w:val="22"/>
        </w:rPr>
        <w:t>Sobre esa base, el análisis de los proyectos de inversión adquiere una relevancia decisiva: revela qué dimensiones misionales la institución logra preservar, cuáles se replegan y cuáles quedan desfinanciadas a pesar de su centralidad para la calidad académica, la investigación y la territorialización del proyecto universitario. A continuación, se presenta la estructura actual de la inversión para 2025 y el proyecto de presupuesto 2026, que permite observar con precisión cómo la universidad reordena sus prioridades bajo restricciones crecientes.</w:t>
      </w:r>
    </w:p>
    <w:p w:rsidR="00743DA6" w:rsidRDefault="00D95D19">
      <w:pPr>
        <w:spacing w:before="240" w:after="240"/>
        <w:jc w:val="both"/>
        <w:rPr>
          <w:sz w:val="22"/>
          <w:szCs w:val="22"/>
        </w:rPr>
      </w:pPr>
      <w:r>
        <w:rPr>
          <w:sz w:val="22"/>
          <w:szCs w:val="22"/>
        </w:rPr>
        <w:t>En el escenario descrito, caracterizado por un crecimiento inercial del gasto de funcionamiento, presiones macroeconómicas de cumplimiento obligatorio y una base presupuestal que no se actualiza al ritmo de esas mismas obligaciones, los proyectos de inversión se convierten en el único espacio donde la Universidad Distrital conserva algún margen de decisión estratégica. En un presupuesto cada vez más dominado por costos rígidos, la inversión no solo constituye el componente más flexible del gasto, sino también el termómetro más preciso para evaluar hasta qué punto la institución logra sostener acciones misionales que requieren recursos adicionales al funcionamiento.</w:t>
      </w:r>
    </w:p>
    <w:p w:rsidR="00743DA6" w:rsidRDefault="00D95D19">
      <w:pPr>
        <w:spacing w:before="240" w:after="240"/>
        <w:jc w:val="both"/>
        <w:rPr>
          <w:sz w:val="22"/>
          <w:szCs w:val="22"/>
        </w:rPr>
      </w:pPr>
      <w:r>
        <w:rPr>
          <w:sz w:val="22"/>
          <w:szCs w:val="22"/>
        </w:rPr>
        <w:t>Desde esta perspectiva, el comportamiento de los proyectos de inversión adquiere un valor analítico fundamental: permite observar si la universidad está en capacidad de materializar las metas asociadas al Plan de Desarrollo, o si las restricciones presupuestales terminan debilitando el alcance real de dichas metas. A corte de 2025, la programación consolida 9</w:t>
      </w:r>
      <w:r>
        <w:rPr>
          <w:b/>
          <w:bCs/>
          <w:sz w:val="22"/>
          <w:szCs w:val="22"/>
        </w:rPr>
        <w:t xml:space="preserve"> </w:t>
      </w:r>
      <w:r>
        <w:rPr>
          <w:sz w:val="22"/>
          <w:szCs w:val="22"/>
        </w:rPr>
        <w:t>proyectos asociados a 9 metas del Plan de Desarrollo, que se despliegan en 34 actividades definidas para la vigencia. Más que un dato operativo, esta estructura revela el nivel de fragmentación o concentración del esfuerzo institucional, y sirve como punto de referencia para interpretar el desempeño financiero de cada proyecto.</w:t>
      </w:r>
    </w:p>
    <w:p w:rsidR="00743DA6" w:rsidRDefault="00D95D19">
      <w:pPr>
        <w:spacing w:before="240" w:after="240"/>
        <w:jc w:val="both"/>
        <w:rPr>
          <w:sz w:val="22"/>
          <w:szCs w:val="22"/>
        </w:rPr>
      </w:pPr>
      <w:r>
        <w:rPr>
          <w:sz w:val="22"/>
          <w:szCs w:val="22"/>
        </w:rPr>
        <w:t xml:space="preserve">Con ese propósito, el cuadro que se presenta a continuación organiza la información financiera relevante de los proyectos de inversión: recursos programados, compromisos y giros de 2025, junto con la programación inicial para 2026. Este insumo funciona como antesala para la discusión sobre su crecimiento o estancamiento presupuestal,  donde se evaluará el nivel de ejecución, los riesgos de continuidad y la coherencia entre los recursos asignados y las metas trazadas por el Plan de Desarrollo. </w:t>
      </w:r>
    </w:p>
    <w:p w:rsidR="00743DA6" w:rsidRDefault="00743DA6">
      <w:pPr>
        <w:spacing w:before="240" w:after="240"/>
        <w:jc w:val="both"/>
      </w:pPr>
    </w:p>
    <w:p w:rsidR="00743DA6" w:rsidRDefault="00743DA6">
      <w:pPr>
        <w:spacing w:before="240" w:after="240"/>
        <w:jc w:val="both"/>
      </w:pPr>
    </w:p>
    <w:p w:rsidR="00743DA6" w:rsidRDefault="00743DA6">
      <w:pPr>
        <w:spacing w:before="240" w:after="240"/>
        <w:jc w:val="both"/>
      </w:pPr>
    </w:p>
    <w:p w:rsidR="00743DA6" w:rsidRDefault="00D95D19">
      <w:pPr>
        <w:spacing w:before="240" w:after="240" w:line="276" w:lineRule="auto"/>
        <w:jc w:val="center"/>
      </w:pPr>
      <w:r>
        <w:rPr>
          <w:b/>
          <w:bCs/>
          <w:sz w:val="22"/>
          <w:szCs w:val="22"/>
        </w:rPr>
        <w:t xml:space="preserve">Tabla X. Programación Presupuestal Comparada de la UD - FJC Vigencia 2025 y Proyecto de Presupuesto 2026. </w:t>
      </w:r>
    </w:p>
    <w:tbl>
      <w:tblPr>
        <w:tblStyle w:val="afffffffff1"/>
        <w:tblW w:w="8700" w:type="dxa"/>
        <w:tblBorders>
          <w:top w:val="nil"/>
          <w:left w:val="nil"/>
          <w:bottom w:val="nil"/>
          <w:right w:val="nil"/>
          <w:insideH w:val="nil"/>
          <w:insideV w:val="nil"/>
        </w:tblBorders>
        <w:tblLayout w:type="fixed"/>
        <w:tblLook w:val="0600" w:firstRow="0" w:lastRow="0" w:firstColumn="0" w:lastColumn="0" w:noHBand="1" w:noVBand="1"/>
      </w:tblPr>
      <w:tblGrid>
        <w:gridCol w:w="2115"/>
        <w:gridCol w:w="1815"/>
        <w:gridCol w:w="1545"/>
        <w:gridCol w:w="1080"/>
        <w:gridCol w:w="1080"/>
        <w:gridCol w:w="1065"/>
      </w:tblGrid>
      <w:tr w:rsidR="00743DA6">
        <w:trPr>
          <w:trHeight w:val="755"/>
        </w:trPr>
        <w:tc>
          <w:tcPr>
            <w:tcW w:w="21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743DA6">
            <w:pPr>
              <w:spacing w:before="240" w:after="240"/>
              <w:jc w:val="both"/>
              <w:rPr>
                <w:sz w:val="16"/>
                <w:szCs w:val="16"/>
              </w:rPr>
            </w:pPr>
          </w:p>
        </w:tc>
        <w:tc>
          <w:tcPr>
            <w:tcW w:w="18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 xml:space="preserve"> Suma de 2025 PROG </w:t>
            </w:r>
          </w:p>
        </w:tc>
        <w:tc>
          <w:tcPr>
            <w:tcW w:w="154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Suma de 2025 COMPROMISOS</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Suma de 2025 GIROS</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 xml:space="preserve"> Suma de 2026 PROG </w:t>
            </w:r>
          </w:p>
        </w:tc>
        <w:tc>
          <w:tcPr>
            <w:tcW w:w="10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 xml:space="preserve"> Suma de Diferencia PROG </w:t>
            </w:r>
          </w:p>
        </w:tc>
      </w:tr>
      <w:tr w:rsidR="00743DA6">
        <w:trPr>
          <w:trHeight w:val="455"/>
        </w:trPr>
        <w:tc>
          <w:tcPr>
            <w:tcW w:w="21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Ampliación y mejoramiento de la infraestructura física de las sedes de la Universidad Distrital Francisco José de Caldas Bogotá D.C</w:t>
            </w:r>
          </w:p>
        </w:tc>
        <w:tc>
          <w:tcPr>
            <w:tcW w:w="18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$15,293.73</w:t>
            </w:r>
          </w:p>
        </w:tc>
        <w:tc>
          <w:tcPr>
            <w:tcW w:w="154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$5,000.20</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$2,068.33</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$15,874.61</w:t>
            </w:r>
          </w:p>
        </w:tc>
        <w:tc>
          <w:tcPr>
            <w:tcW w:w="10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$580.88</w:t>
            </w:r>
          </w:p>
        </w:tc>
      </w:tr>
      <w:tr w:rsidR="00743DA6">
        <w:trPr>
          <w:trHeight w:val="455"/>
        </w:trPr>
        <w:tc>
          <w:tcPr>
            <w:tcW w:w="21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Desarrollo y modernización de los procesos relacionados con la gestión institucional de la Universidad Distrital Francisco José de Caldas Bogotá D.C</w:t>
            </w:r>
          </w:p>
        </w:tc>
        <w:tc>
          <w:tcPr>
            <w:tcW w:w="18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$957.56</w:t>
            </w:r>
          </w:p>
        </w:tc>
        <w:tc>
          <w:tcPr>
            <w:tcW w:w="154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$205.99</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$0               </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$711.30</w:t>
            </w:r>
          </w:p>
        </w:tc>
        <w:tc>
          <w:tcPr>
            <w:tcW w:w="10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-$246.26</w:t>
            </w:r>
          </w:p>
        </w:tc>
      </w:tr>
      <w:tr w:rsidR="00743DA6">
        <w:trPr>
          <w:trHeight w:val="455"/>
        </w:trPr>
        <w:tc>
          <w:tcPr>
            <w:tcW w:w="21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Fortalecimiento de estrategias para disminuir la tasa de riesgo de deserción, promoción de la permanencia y bienestar de los estudiantes de pregrado de la Universidad Distrital Bogotá D.C</w:t>
            </w:r>
          </w:p>
        </w:tc>
        <w:tc>
          <w:tcPr>
            <w:tcW w:w="18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$1,547.25</w:t>
            </w:r>
          </w:p>
        </w:tc>
        <w:tc>
          <w:tcPr>
            <w:tcW w:w="154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$1,131.88</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$326.83</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$1,762.73</w:t>
            </w:r>
          </w:p>
        </w:tc>
        <w:tc>
          <w:tcPr>
            <w:tcW w:w="10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$215.48</w:t>
            </w:r>
          </w:p>
        </w:tc>
      </w:tr>
      <w:tr w:rsidR="00743DA6">
        <w:trPr>
          <w:trHeight w:val="455"/>
        </w:trPr>
        <w:tc>
          <w:tcPr>
            <w:tcW w:w="21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Fortalecimiento de la capacidad para la prestación del servicio en las Unidades Académicas de laboratorio en la docencia, investigación, extensión y proyección social de la U D F J C Bogotá D.C</w:t>
            </w:r>
          </w:p>
        </w:tc>
        <w:tc>
          <w:tcPr>
            <w:tcW w:w="18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$14,589.72</w:t>
            </w:r>
          </w:p>
        </w:tc>
        <w:tc>
          <w:tcPr>
            <w:tcW w:w="154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$8,328.58</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$108.88</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$7,937.31</w:t>
            </w:r>
          </w:p>
        </w:tc>
        <w:tc>
          <w:tcPr>
            <w:tcW w:w="10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-$6,652.42</w:t>
            </w:r>
          </w:p>
        </w:tc>
      </w:tr>
      <w:tr w:rsidR="00743DA6">
        <w:trPr>
          <w:trHeight w:val="455"/>
        </w:trPr>
        <w:tc>
          <w:tcPr>
            <w:tcW w:w="21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Fortalecimiento de las capacidades del sistema de investigaciones frente a los retos de CTeI a nivel regional, nacional e internacional en la UDFJC. Bogotá D.C.</w:t>
            </w:r>
          </w:p>
        </w:tc>
        <w:tc>
          <w:tcPr>
            <w:tcW w:w="18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$6,226.92</w:t>
            </w:r>
          </w:p>
        </w:tc>
        <w:tc>
          <w:tcPr>
            <w:tcW w:w="154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$4,510.23</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$946.92</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$5,952.98</w:t>
            </w:r>
          </w:p>
        </w:tc>
        <w:tc>
          <w:tcPr>
            <w:tcW w:w="10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-$273.94</w:t>
            </w:r>
          </w:p>
        </w:tc>
      </w:tr>
      <w:tr w:rsidR="00743DA6">
        <w:trPr>
          <w:trHeight w:val="455"/>
        </w:trPr>
        <w:tc>
          <w:tcPr>
            <w:tcW w:w="21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Fortalecimiento de las líneas de servicios CRAI que conforman el portafolio de servicios y recursos de las bibliotecas y unidades de información de la UDFJC, Bogotá DC</w:t>
            </w:r>
          </w:p>
        </w:tc>
        <w:tc>
          <w:tcPr>
            <w:tcW w:w="18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$4,310.91</w:t>
            </w:r>
          </w:p>
        </w:tc>
        <w:tc>
          <w:tcPr>
            <w:tcW w:w="154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$2,695.51</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$260.57</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$1,984.33</w:t>
            </w:r>
          </w:p>
        </w:tc>
        <w:tc>
          <w:tcPr>
            <w:tcW w:w="10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-$2,326.58</w:t>
            </w:r>
          </w:p>
        </w:tc>
      </w:tr>
      <w:tr w:rsidR="00743DA6">
        <w:trPr>
          <w:trHeight w:val="455"/>
        </w:trPr>
        <w:tc>
          <w:tcPr>
            <w:tcW w:w="21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Fortalecimiento de los componentes tecnológicos para lograr la Transformación Digital en la institución, especialmente en los procesos respaldados por las áreas de tecnología. Bogotá D.C.</w:t>
            </w:r>
          </w:p>
        </w:tc>
        <w:tc>
          <w:tcPr>
            <w:tcW w:w="18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$9,525.71</w:t>
            </w:r>
          </w:p>
        </w:tc>
        <w:tc>
          <w:tcPr>
            <w:tcW w:w="154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$5,309.08</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             -  </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$5,952.98</w:t>
            </w:r>
          </w:p>
        </w:tc>
        <w:tc>
          <w:tcPr>
            <w:tcW w:w="10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-$3,572.73</w:t>
            </w:r>
          </w:p>
        </w:tc>
      </w:tr>
      <w:tr w:rsidR="00743DA6">
        <w:trPr>
          <w:trHeight w:val="455"/>
        </w:trPr>
        <w:tc>
          <w:tcPr>
            <w:tcW w:w="21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Fortalecimiento del Uso y Apropiación De TIC Como Soporte de Propuestas de formación híbridas, virtuales o con incorporación tecnológica en la UD. Bogotá D.C.</w:t>
            </w:r>
          </w:p>
        </w:tc>
        <w:tc>
          <w:tcPr>
            <w:tcW w:w="18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$1,219.23</w:t>
            </w:r>
          </w:p>
        </w:tc>
        <w:tc>
          <w:tcPr>
            <w:tcW w:w="154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$1,126.71</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             -  </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$574.38</w:t>
            </w:r>
          </w:p>
        </w:tc>
        <w:tc>
          <w:tcPr>
            <w:tcW w:w="10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-$644.86</w:t>
            </w:r>
          </w:p>
        </w:tc>
      </w:tr>
      <w:tr w:rsidR="00743DA6">
        <w:trPr>
          <w:trHeight w:val="455"/>
        </w:trPr>
        <w:tc>
          <w:tcPr>
            <w:tcW w:w="21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Incremento del Acceso y el impacto Socio-cultural de los resultados de conocimientos generados por los Doctorados de la universidad Francisco José de Caldas Bogotá D.C.</w:t>
            </w:r>
          </w:p>
        </w:tc>
        <w:tc>
          <w:tcPr>
            <w:tcW w:w="18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$2,562.77</w:t>
            </w:r>
          </w:p>
        </w:tc>
        <w:tc>
          <w:tcPr>
            <w:tcW w:w="154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$1,727.31</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$19.44</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$2,565.69</w:t>
            </w:r>
          </w:p>
        </w:tc>
        <w:tc>
          <w:tcPr>
            <w:tcW w:w="10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$2.92</w:t>
            </w:r>
          </w:p>
        </w:tc>
      </w:tr>
      <w:tr w:rsidR="00743DA6">
        <w:trPr>
          <w:trHeight w:val="455"/>
        </w:trPr>
        <w:tc>
          <w:tcPr>
            <w:tcW w:w="21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center"/>
              <w:rPr>
                <w:sz w:val="16"/>
                <w:szCs w:val="16"/>
              </w:rPr>
            </w:pPr>
            <w:r>
              <w:rPr>
                <w:b/>
                <w:bCs/>
                <w:sz w:val="16"/>
                <w:szCs w:val="16"/>
              </w:rPr>
              <w:t>Total general</w:t>
            </w:r>
          </w:p>
        </w:tc>
        <w:tc>
          <w:tcPr>
            <w:tcW w:w="181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$56,233.80</w:t>
            </w:r>
          </w:p>
        </w:tc>
        <w:tc>
          <w:tcPr>
            <w:tcW w:w="154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$30,035.47</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$3,730.97</w:t>
            </w:r>
          </w:p>
        </w:tc>
        <w:tc>
          <w:tcPr>
            <w:tcW w:w="1080"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 xml:space="preserve"> $43,316.31</w:t>
            </w:r>
          </w:p>
        </w:tc>
        <w:tc>
          <w:tcPr>
            <w:tcW w:w="1065" w:type="dxa"/>
            <w:tcBorders>
              <w:top w:val="single" w:sz="6" w:space="0" w:color="000000"/>
              <w:left w:val="single" w:sz="6" w:space="0" w:color="000000"/>
              <w:bottom w:val="single" w:sz="6" w:space="0" w:color="000000"/>
              <w:right w:val="single" w:sz="6" w:space="0" w:color="000000"/>
            </w:tcBorders>
            <w:shd w:val="clear" w:color="auto" w:fill="FFFFFF"/>
            <w:tcMar>
              <w:top w:w="100" w:type="dxa"/>
              <w:left w:w="100" w:type="dxa"/>
              <w:bottom w:w="100" w:type="dxa"/>
              <w:right w:w="100" w:type="dxa"/>
            </w:tcMar>
          </w:tcPr>
          <w:p w:rsidR="00743DA6" w:rsidRDefault="00D95D19">
            <w:pPr>
              <w:spacing w:before="240" w:after="240"/>
              <w:jc w:val="right"/>
              <w:rPr>
                <w:sz w:val="16"/>
                <w:szCs w:val="16"/>
              </w:rPr>
            </w:pPr>
            <w:r>
              <w:rPr>
                <w:sz w:val="16"/>
                <w:szCs w:val="16"/>
              </w:rPr>
              <w:t>-$12,917.49</w:t>
            </w:r>
          </w:p>
        </w:tc>
      </w:tr>
    </w:tbl>
    <w:p w:rsidR="00743DA6" w:rsidRDefault="00743DA6"/>
    <w:p w:rsidR="00743DA6" w:rsidRDefault="00D95D19">
      <w:pPr>
        <w:spacing w:before="240" w:after="240" w:line="276" w:lineRule="auto"/>
        <w:jc w:val="center"/>
        <w:rPr>
          <w:sz w:val="18"/>
          <w:szCs w:val="18"/>
        </w:rPr>
      </w:pPr>
      <w:r>
        <w:rPr>
          <w:b/>
          <w:bCs/>
          <w:sz w:val="18"/>
          <w:szCs w:val="18"/>
        </w:rPr>
        <w:t>Fuente:</w:t>
      </w:r>
      <w:r>
        <w:rPr>
          <w:sz w:val="18"/>
          <w:szCs w:val="18"/>
        </w:rPr>
        <w:t xml:space="preserve"> Elaboración propia (2025) con base en la matriz comparativa de la Secretaría Distrital de Hacienda (2025).</w:t>
      </w:r>
    </w:p>
    <w:p w:rsidR="00743DA6" w:rsidRDefault="00D95D19">
      <w:pPr>
        <w:spacing w:before="240" w:after="240"/>
        <w:jc w:val="both"/>
        <w:rPr>
          <w:sz w:val="22"/>
          <w:szCs w:val="22"/>
        </w:rPr>
      </w:pPr>
      <w:r>
        <w:rPr>
          <w:sz w:val="22"/>
          <w:szCs w:val="22"/>
        </w:rPr>
        <w:t>La lectura integrada del comportamiento presupuestal de la Universidad Distrital para las vigencias 2025 y 2026 muestra un fenómeno que adquiere particular gravedad cuando se analizan simultáneamente los proyectos de inversión, las obligaciones macroeconómicas y las nuevas exigencias normativas impuestas por el Decreto 391 de 2025 en materia de formalización laboral. La institución entra al próximo año fiscal con un escenario donde las presiones del gasto de funcionamiento avanzan por carriles inerciales, crecimiento salarial, variación del punto docente, actualizaciones de mesadas, cargas prestacionales y compromisos convencionales, mientras que la base presupuestal asignada por el Distrito no acompasa esos incrementos. Este desfase obliga a destinar una proporción creciente del presupuesto agregado exclusivamente a absorber gasto rígido, dejando un margen cada vez más estrecho para financiar inversión, actualizar infraestructura, sostener laboratorios, renovar equipamientos críticos o fortalecer sistemas tecnológicos. La universidad se ve así atrapada entre obligaciones obligatorias que aumentan por diseño normativo y asignaciones distritales que crecen a un ritmo inferior al de sus compromisos estructurales.</w:t>
      </w:r>
    </w:p>
    <w:p w:rsidR="00743DA6" w:rsidRDefault="00D95D19">
      <w:pPr>
        <w:spacing w:before="240" w:after="240"/>
        <w:jc w:val="both"/>
        <w:rPr>
          <w:sz w:val="22"/>
          <w:szCs w:val="22"/>
        </w:rPr>
      </w:pPr>
      <w:r>
        <w:rPr>
          <w:sz w:val="22"/>
          <w:szCs w:val="22"/>
        </w:rPr>
        <w:t>En ese contexto, los proyectos de inversión representan la fracción del presupuesto que todavía tiene capacidad de orientar transformaciones misionales en función del Plan de Desarrollo y de las exigencias nacionales. Sin embargo, al revisar la programación 2026 y contrastarla con la ejecución 2025, emerge un patrón de contracción sistemática. La disminución agregada de –$12.917 millones para 2026 coincide justamente con el inicio del proceso de formalización laboral ordenado por el Decreto 391, que exige estudios de planta, análisis de cargas laborales, identificación de procesos permanentes, construcción de perfiles, diseño de rutas de implementación, fortalecimiento documental y, en general, el aumento de la capacidad institucional para asumir un tránsito progresivo hacia vínculos laborales formales. La universidad debe presentar un plan de formalización en 2025–2026 y mostrar avances verificables, lo que implica más gestión, más soporte administrativo, más sistemas de información y más condiciones materiales para albergar nuevas plazas. Sin embargo, el comportamiento de los proyectos indica que las líneas que financiarían esa transición son precisamente las que sufren reducciones más profundas.</w:t>
      </w:r>
    </w:p>
    <w:p w:rsidR="00743DA6" w:rsidRDefault="00D95D19">
      <w:pPr>
        <w:spacing w:before="240" w:after="240"/>
        <w:jc w:val="both"/>
        <w:rPr>
          <w:sz w:val="22"/>
          <w:szCs w:val="22"/>
        </w:rPr>
      </w:pPr>
      <w:r>
        <w:rPr>
          <w:sz w:val="22"/>
          <w:szCs w:val="22"/>
        </w:rPr>
        <w:t>La situación se aprecia con particular claridad cuando se examinan los recortes en infraestructura física, modernización institucional, laboratorios, sistemas de información y bibliotecas, que no son rubros accesorios sino los cimientos operativos de cualquier proceso de formalización laboral. La caída en infraestructura, a pesar de un incremento marginal en la actividad de intervención de sedes, deja rezagados los componentes que permitirían habilitar espacios de trabajo para una planta ampliada, renovar sistemas de energía, intervenir taludes, modernizar mobiliario y realizar adecuaciones básicas. Estos elementos son prerrequisitos para cumplir las exigencias del Decreto 391, que demanda identificar funciones permanentes y garantizar condiciones de trabajo adecuadas para los nuevos servidores. La contradicción se evidencia en que, mientras el marco jurídico solicita la ampliación de la capacidad institucional, la programación presupuestal reduce el músculo financiero que permitiría materializarla.</w:t>
      </w:r>
    </w:p>
    <w:p w:rsidR="00743DA6" w:rsidRDefault="00D95D19">
      <w:pPr>
        <w:spacing w:before="240" w:after="240"/>
        <w:jc w:val="both"/>
        <w:rPr>
          <w:sz w:val="22"/>
          <w:szCs w:val="22"/>
        </w:rPr>
      </w:pPr>
      <w:r>
        <w:rPr>
          <w:sz w:val="22"/>
          <w:szCs w:val="22"/>
        </w:rPr>
        <w:t>Lo mismo ocurre con la modernización institucional, uno de los frentes más sensibles para la implementación del decreto. La caída de recursos en 2026 afecta directamente la construcción de matrices de procesos permanentes, la revisión de la estructura interna, la definición de perfiles, la elaboración del análisis de cargas, la consolidación de inventarios administrativos y la adecuación de sistemas de seguimiento. La universidad entra al ciclo de formalización con menos inversión institucional que en 2025, aun cuando el volumen de tareas y exigencias normativas aumenta significativamente. A esta presión se suma el comportamiento del Sistema de Investigaciones, que enfrenta una reducción en cofinanciación, herramientas documentales y apoyo a semilleros y grupos, lo cual debilita la capacidad académica que sustenta la justificación para una planta docente fortalecida. La formalización laboral no puede ejecutarse sin una estructura académica capaz de absorber nuevos docentes con vocación de investigación, pero las asignaciones de inversión avanzan en dirección opuesta.</w:t>
      </w:r>
    </w:p>
    <w:p w:rsidR="00743DA6" w:rsidRDefault="00D95D19">
      <w:pPr>
        <w:spacing w:before="240" w:after="240"/>
        <w:jc w:val="both"/>
        <w:rPr>
          <w:sz w:val="22"/>
          <w:szCs w:val="22"/>
        </w:rPr>
      </w:pPr>
      <w:r>
        <w:rPr>
          <w:sz w:val="22"/>
          <w:szCs w:val="22"/>
        </w:rPr>
        <w:t>Uno de los casos más críticos es la reducción significativa en el fortalecimiento de laboratorios, que pierde más del cuarenta por ciento de su valor programado. La exigencia nacional de formalizar no se limita a la contratación laboral; requiere garantizar condiciones materiales del ejercicio académico que permitan cumplir estándares del MEN para renovación de registros calificados, acreditación institucional, investigación aplicada y prácticas profesionales. La Universidad Distrital tiene un rezago histórico en laboratorios, agravado por fallas de mantenimiento, obsolescencia y subequipamiento. El recorte masivo compromete la capacidad de absorber una planta docente ampliada en áreas de ciencias naturales, ingenierías, artes e investigación aplicada, al tiempo que agrava la vulnerabilidad del sistema académico.</w:t>
      </w:r>
    </w:p>
    <w:p w:rsidR="00743DA6" w:rsidRDefault="00D95D19">
      <w:pPr>
        <w:spacing w:before="240" w:after="240"/>
        <w:jc w:val="both"/>
        <w:rPr>
          <w:sz w:val="22"/>
          <w:szCs w:val="22"/>
        </w:rPr>
      </w:pPr>
      <w:r>
        <w:rPr>
          <w:sz w:val="22"/>
          <w:szCs w:val="22"/>
        </w:rPr>
        <w:t>El debilitamiento del ecosistema de información, expresado en la reducción de recursos para el CRAI, bases de datos y transformación digital, profundiza esta tendencia regresiva. Las obligaciones del Decreto 391 requieren sistemas de información confiables, depurados, interoperables y suficientemente robustos para producir análisis de cargas, reportes de planta, caracterizaciones de docentes y administrativos, auditorías internas y verificaciones de procesos permanentes. Sin plataformas sólidas, la universidad no podrá demostrar avances verificables ante el Ministerio ni construir las bases de datos necesarias para ejecutar la formalización. El recorte en transformación digital confirma la paradoja: la universidad tiene que aumentar su capacidad de análisis y seguimiento justo cuando se reducen los recursos para dotarse de herramientas tecnológicas.</w:t>
      </w:r>
    </w:p>
    <w:p w:rsidR="00743DA6" w:rsidRDefault="00D95D19">
      <w:pPr>
        <w:spacing w:before="240" w:after="240"/>
        <w:jc w:val="both"/>
        <w:rPr>
          <w:sz w:val="22"/>
          <w:szCs w:val="22"/>
        </w:rPr>
      </w:pPr>
      <w:r>
        <w:rPr>
          <w:sz w:val="22"/>
          <w:szCs w:val="22"/>
        </w:rPr>
        <w:t>A la contracción presupuestal se suma un problema de ejecución que debilita aún más la gobernanza interna: en 2025, de $30.035 millones comprometidos en los proyectos de inversión, apenas se giraron $3.730 millones, lo que equivale a una eficiencia de pago del 12,4%. Este rezago en la gestión de caja no es un indicador de “ineficiencia” de la universidad en abstracto, sino el resultado de procesos de contratación complejos, presiones administrativas, ciclos de verificación propios del sector público y una estructura financiera saturada. No obstante, en la práctica, el Distrito utiliza ese rezago para justificar recortes, ignorando que una universidad en proceso de reingeniería administrativa necesita más recursos para superar esos cuellos de botella, no menos.</w:t>
      </w:r>
    </w:p>
    <w:p w:rsidR="00743DA6" w:rsidRDefault="00D95D19">
      <w:pPr>
        <w:spacing w:before="240" w:after="240"/>
        <w:jc w:val="both"/>
        <w:rPr>
          <w:sz w:val="22"/>
          <w:szCs w:val="22"/>
        </w:rPr>
      </w:pPr>
      <w:r>
        <w:rPr>
          <w:sz w:val="22"/>
          <w:szCs w:val="22"/>
        </w:rPr>
        <w:t>La situación se vuelve aún más contradictoria cuando se compara con el comportamiento presupuestal de la Agencia ATENEA. Mientras a la UD se le recortan líneas estratégicas de fortalecimiento institucional, incluidas aquellas críticas para el cumplimiento del Decreto 391, la Agencia recibe incrementos multimillonarios incluso en rubros donde tiene ejecuciones de giros igual o peor que las de la institución. La duplicación de subsidios sin fortalecimiento estructural, los aumentos en fortalecimiento institucional con giros nulos en 2025, la volatilidad de costos en cursos cortos y la evidencia de que la formación en instituciones públicas termina costando más que en las privadas sin justificación técnica, contrastan con la austeridad impuesta a la universidad pública. La contradicción es directa: al tiempo que se argumenta que la UD debe sostenerse con “recursos propios”, se recortan proyectos indispensables para su reingeniería y su formalización laboral, y se amplía el presupuesto de una entidad intermediaria que no genera valor público permanente ni construye capacidades de largo plazo.</w:t>
      </w:r>
    </w:p>
    <w:p w:rsidR="00743DA6" w:rsidRDefault="00D95D19">
      <w:pPr>
        <w:spacing w:before="240" w:after="240"/>
        <w:jc w:val="both"/>
        <w:rPr>
          <w:sz w:val="22"/>
          <w:szCs w:val="22"/>
        </w:rPr>
      </w:pPr>
      <w:r>
        <w:rPr>
          <w:sz w:val="22"/>
          <w:szCs w:val="22"/>
        </w:rPr>
        <w:t>El resultado global del análisis de los 9 proyectos y sus 34 actividades muestra una estructura presupuestal incapaz de acompañar las obligaciones normativas que se activan en 2026. La formalización laboral exige capacidad administrativa, tecnológica, documental y física, pero los recortes de inversión reducen exactamente aquellas líneas que deberían ampliarse para hacer viable el cumplimiento del mandato nacional. La universidad entra en un año donde se le exige más, pero se le asigna menos; donde se le pide transformar su estructura laboral, pero se debilitan los soportes técnicos que permitirían sostener dicha transformación; donde la presión del gasto rígido crece por mandato macroeconómico, pero la base distrital no se ajusta en la misma proporción.</w:t>
      </w:r>
    </w:p>
    <w:p w:rsidR="00743DA6" w:rsidRDefault="00D95D19">
      <w:pPr>
        <w:spacing w:before="240" w:after="240"/>
        <w:jc w:val="both"/>
        <w:rPr>
          <w:sz w:val="22"/>
          <w:szCs w:val="22"/>
        </w:rPr>
      </w:pPr>
      <w:r>
        <w:rPr>
          <w:sz w:val="22"/>
          <w:szCs w:val="22"/>
        </w:rPr>
        <w:t>En ese escenario, la programación presupuestal 2026 configura un escenario donde la Universidad Distrital debe asumir una formalización sin soporte financiero, una reingeniería sin inversión estratégica y una ampliación de sus funciones con una reducción simultánea de sus capacidades operativas. La brecha entre las obligaciones jurídicas y los recursos disponibles crece, no disminuye, y ese desfase introduce un riesgo estructural para la sostenibilidad institucional, la calidad académica, la gobernanza interna y la autonomía universitaria.</w:t>
      </w:r>
    </w:p>
    <w:p w:rsidR="00743DA6" w:rsidRDefault="00D95D19">
      <w:pPr>
        <w:spacing w:before="240" w:after="240"/>
        <w:jc w:val="both"/>
        <w:rPr>
          <w:b/>
          <w:bCs/>
          <w:sz w:val="22"/>
          <w:szCs w:val="22"/>
        </w:rPr>
      </w:pPr>
      <w:r>
        <w:rPr>
          <w:b/>
          <w:bCs/>
          <w:sz w:val="22"/>
          <w:szCs w:val="22"/>
        </w:rPr>
        <w:t>Entes de Control.</w:t>
      </w:r>
    </w:p>
    <w:p w:rsidR="00743DA6" w:rsidRDefault="00D95D19">
      <w:pPr>
        <w:spacing w:before="240" w:after="240"/>
        <w:jc w:val="both"/>
        <w:rPr>
          <w:sz w:val="22"/>
          <w:szCs w:val="22"/>
        </w:rPr>
      </w:pPr>
      <w:r>
        <w:rPr>
          <w:sz w:val="22"/>
          <w:szCs w:val="22"/>
        </w:rPr>
        <w:t>A pesar de la evolución presupuestal observada entre 2022 y 2026, los montos asignados a los entes de control, Contraloría, Personería y Veeduría, plantean cuestionamientos de fondo sobre la coherencia entre sus responsabilidades misionales y los recursos efectivamente otorgados en el marco del presupuesto distrital. Si bien la Contraloría sigue concentrando la mayor proporción de recursos del sector, el ciclo de reducciones entre 2024 y 2025 y la posterior recomposición en 2026 generan dudas sobre la sostenibilidad de su proceso de transformación digital, más aún cuando varias de sus líneas estratégicas, como el control fiscal digital o el fortalecimiento institucional, dependen de inversiones continuas y no únicamente de asignaciones puntuales de manera que le permitan mantener la capacidad de vigilancia fiscal en un escenario en el que los proyectos estratégicos del Distrito crecieron en escala, complejidad y riesgo financiero.</w:t>
      </w:r>
    </w:p>
    <w:p w:rsidR="00743DA6" w:rsidRDefault="00D95D19">
      <w:pPr>
        <w:spacing w:before="240" w:after="240"/>
        <w:jc w:val="both"/>
        <w:rPr>
          <w:sz w:val="22"/>
          <w:szCs w:val="22"/>
        </w:rPr>
      </w:pPr>
      <w:r>
        <w:rPr>
          <w:sz w:val="22"/>
          <w:szCs w:val="22"/>
        </w:rPr>
        <w:t>En el caso de la Personería y la Veeduría, ambas entidades presentan variaciones presupuestales mínimas o incluso reducciones en rubros estratégicos como la modernización institucional de la Personería, que cae más del 40%, y los incrementos marginales de la Veeduría, inferiores al 2%, aun cuando sus funciones han crecido en importancia dentro del PDD “Bogotá Camina Segura”. Resulta necesario preguntarse si con estos presupuestos es posible sostener la creciente demanda ciudadana, atender el aumento de quejas, reforzar el control disciplinario y, en el caso de la Veeduría, desplegar un verdadero sistema de alertas tempranas y control preventivo. El propio Libro Cero reconoce una tendencia a la baja en términos reales en los entes de control, lo que deja abierta la duda sobre si el Distrito está fortaleciendo de manera equilibrada el ecosistema de integridad pública o si la austeridad aplicada podría terminar debilitando las capacidades institucionales mínimas requeridas para vigilar adecuadamente la gestión de un aparato administrativo cada vez más grande, más costoso y con mayores riesgos fiscales y operativos.</w:t>
      </w:r>
    </w:p>
    <w:p w:rsidR="00743DA6" w:rsidRDefault="00D95D19">
      <w:pPr>
        <w:spacing w:before="240" w:after="240"/>
        <w:jc w:val="both"/>
        <w:rPr>
          <w:sz w:val="22"/>
          <w:szCs w:val="22"/>
        </w:rPr>
      </w:pPr>
      <w:r>
        <w:rPr>
          <w:sz w:val="22"/>
          <w:szCs w:val="22"/>
        </w:rPr>
        <w:t>El presupuesto 2026 consolida un sistema de control donde:</w:t>
      </w:r>
    </w:p>
    <w:p w:rsidR="00743DA6" w:rsidRDefault="00D95D19">
      <w:pPr>
        <w:numPr>
          <w:ilvl w:val="0"/>
          <w:numId w:val="57"/>
        </w:numPr>
        <w:jc w:val="both"/>
        <w:rPr>
          <w:sz w:val="22"/>
          <w:szCs w:val="22"/>
        </w:rPr>
      </w:pPr>
      <w:r>
        <w:rPr>
          <w:sz w:val="22"/>
          <w:szCs w:val="22"/>
        </w:rPr>
        <w:t>La Contraloría emerge como el pilar financiero y tecnológico de la vigilancia pública, pero requiere de mayor fortalecimiento</w:t>
      </w:r>
    </w:p>
    <w:p w:rsidR="00743DA6" w:rsidRDefault="00D95D19">
      <w:pPr>
        <w:numPr>
          <w:ilvl w:val="0"/>
          <w:numId w:val="57"/>
        </w:numPr>
        <w:jc w:val="both"/>
        <w:rPr>
          <w:sz w:val="22"/>
          <w:szCs w:val="22"/>
        </w:rPr>
      </w:pPr>
      <w:r>
        <w:rPr>
          <w:sz w:val="22"/>
          <w:szCs w:val="22"/>
        </w:rPr>
        <w:t>La Personería mantiene un rol clave en la protección de derechos y el disciplinario, aunque con recursos que deben fortalecerse.</w:t>
      </w:r>
    </w:p>
    <w:p w:rsidR="00743DA6" w:rsidRDefault="00D95D19">
      <w:pPr>
        <w:numPr>
          <w:ilvl w:val="0"/>
          <w:numId w:val="57"/>
        </w:numPr>
        <w:spacing w:after="240"/>
        <w:jc w:val="both"/>
        <w:rPr>
          <w:sz w:val="22"/>
          <w:szCs w:val="22"/>
        </w:rPr>
      </w:pPr>
      <w:r>
        <w:rPr>
          <w:sz w:val="22"/>
          <w:szCs w:val="22"/>
        </w:rPr>
        <w:t>La Veeduría enfrenta el reto de realizar control preventivo y promover integridad con un presupuesto reducido, pese a la relevancia estratégica de su misión.</w:t>
      </w:r>
    </w:p>
    <w:p w:rsidR="00743DA6" w:rsidRDefault="00D95D19">
      <w:pPr>
        <w:spacing w:before="240" w:after="240"/>
        <w:jc w:val="both"/>
        <w:rPr>
          <w:sz w:val="22"/>
          <w:szCs w:val="22"/>
        </w:rPr>
      </w:pPr>
      <w:r>
        <w:rPr>
          <w:sz w:val="22"/>
          <w:szCs w:val="22"/>
        </w:rPr>
        <w:t>Las inversiones proyectadas para 2026 avanzan hacia un ecosistema de control más técnico, analítico y orientado a resultados. No obstante, el sistema requiere mayor equilibrio financiero, articulación funcional y fortalecimiento transversal para garantizar que el control fiscal, preventivo y disciplinario operen de manera integrada, efectiva y en beneficio de la ciudadanía.</w:t>
      </w:r>
    </w:p>
    <w:p w:rsidR="00743DA6" w:rsidRDefault="00D95D19">
      <w:pPr>
        <w:rPr>
          <w:b/>
          <w:bCs/>
          <w:sz w:val="22"/>
          <w:szCs w:val="22"/>
        </w:rPr>
      </w:pPr>
      <w:r>
        <w:rPr>
          <w:b/>
          <w:bCs/>
          <w:sz w:val="22"/>
          <w:szCs w:val="22"/>
        </w:rPr>
        <w:t>Contraloría de Bogotá</w:t>
      </w:r>
    </w:p>
    <w:p w:rsidR="00743DA6" w:rsidRDefault="00743DA6">
      <w:pPr>
        <w:rPr>
          <w:sz w:val="22"/>
          <w:szCs w:val="22"/>
        </w:rPr>
      </w:pPr>
    </w:p>
    <w:p w:rsidR="00743DA6" w:rsidRDefault="00D95D19">
      <w:pPr>
        <w:spacing w:before="240" w:after="240"/>
        <w:jc w:val="both"/>
        <w:rPr>
          <w:sz w:val="22"/>
          <w:szCs w:val="22"/>
        </w:rPr>
      </w:pPr>
      <w:r>
        <w:rPr>
          <w:sz w:val="22"/>
          <w:szCs w:val="22"/>
        </w:rPr>
        <w:t>La Contraloría de Bogotá presenta entre 2025 y 2026 un comportamiento presupuestal que, aunque muestra leves mejoras, también evidencia limitaciones significativas en relación con las exigencias crecientes del control fiscal distrital. En la vigencia 2025, la entidad contó con un presupuesto programado de $272.838 millones, del cual ejecutó giros por $222.437 millones (81%), reflejando una operación altamente rígida y comprometida con auditorías obligatorias, control a megaproyectos, seguimiento a la contratación y sostenimiento de plataformas tecnológicas. Para 2026, el presupuesto proyectado asciende a $275.489 millones, lo que representa apenas un incremento del 0,97%, una cifra que, si bien constituye una leve mejora nominal, resulta claramente insuficiente frente a la expansión del gasto distrital, el crecimiento del presupuesto total a más de $40 billones, y el aumento de riesgos fiscales asociados a obras públicas, sistemas de transporte, infraestructura hospitalaria y programas de inversión de alto impacto.</w:t>
      </w:r>
    </w:p>
    <w:p w:rsidR="00743DA6" w:rsidRDefault="00D95D19">
      <w:pPr>
        <w:spacing w:before="240" w:after="240"/>
        <w:jc w:val="both"/>
        <w:rPr>
          <w:sz w:val="22"/>
          <w:szCs w:val="22"/>
        </w:rPr>
      </w:pPr>
      <w:r>
        <w:rPr>
          <w:sz w:val="22"/>
          <w:szCs w:val="22"/>
        </w:rPr>
        <w:t>Aunque es positivo que la Contraloría mantenga estabilidad presupuestal y evite reducciones severas, la ausencia de un incremento real orientado a fortalecer la vigilancia fiscal, especialmente en capacidades digitales, analítica de datos, auditorías especiales y seguimiento a riesgos macrofiscales, constituye un vacío estratégico difícil de ignorar. En un contexto donde el Marco Fiscal, el POAI y los Anexos de Inversión evidencian un Distrito con mayor complejidad operativa y mayor exposición a fallas de ejecución, la limitada expansión presupuestal para 2026 cuestiona si la entidad podrá responder adecuadamente al volumen y profundidad del control requerido. La brecha entre la narrativa oficial de austeridad y la necesidad real de robustecer el control fiscal plantea un interrogante central: ¿puede la Contraloría garantizar vigilancia suficiente, o está siendo limitada a operar con recursos que no crecen al ritmo de los riesgos del gasto público? Esta tensión entre una ligera mejora presupuestal y un insuficiente fortalecimiento técnico deja abierta la discusión sobre la verdadera solidez del sistema de control fiscal distrital para 2026.</w:t>
      </w:r>
    </w:p>
    <w:p w:rsidR="00743DA6" w:rsidRDefault="00743DA6">
      <w:pPr>
        <w:jc w:val="both"/>
      </w:pPr>
    </w:p>
    <w:p w:rsidR="00743DA6" w:rsidRDefault="00743DA6"/>
    <w:p w:rsidR="00743DA6" w:rsidRDefault="00D95D19">
      <w:r>
        <w:rPr>
          <w:noProof/>
          <w:lang w:val="es-CO"/>
        </w:rPr>
        <w:drawing>
          <wp:inline distT="114300" distB="114300" distL="114300" distR="114300">
            <wp:extent cx="5612130" cy="2489200"/>
            <wp:effectExtent l="0" t="0" r="0" b="0"/>
            <wp:docPr id="2127399598"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8"/>
                    <a:srcRect/>
                    <a:stretch>
                      <a:fillRect/>
                    </a:stretch>
                  </pic:blipFill>
                  <pic:spPr>
                    <a:xfrm>
                      <a:off x="0" y="0"/>
                      <a:ext cx="5612130" cy="2489200"/>
                    </a:xfrm>
                    <a:prstGeom prst="rect">
                      <a:avLst/>
                    </a:prstGeom>
                    <a:ln/>
                  </pic:spPr>
                </pic:pic>
              </a:graphicData>
            </a:graphic>
          </wp:inline>
        </w:drawing>
      </w:r>
    </w:p>
    <w:p w:rsidR="00743DA6" w:rsidRDefault="00743DA6"/>
    <w:p w:rsidR="00743DA6" w:rsidRDefault="00743DA6"/>
    <w:p w:rsidR="00743DA6" w:rsidRDefault="00D95D19">
      <w:pPr>
        <w:rPr>
          <w:b/>
          <w:bCs/>
          <w:sz w:val="22"/>
          <w:szCs w:val="22"/>
        </w:rPr>
      </w:pPr>
      <w:r>
        <w:rPr>
          <w:b/>
          <w:bCs/>
          <w:sz w:val="22"/>
          <w:szCs w:val="22"/>
        </w:rPr>
        <w:t>Personería de Bogotá</w:t>
      </w:r>
    </w:p>
    <w:p w:rsidR="00743DA6" w:rsidRDefault="00743DA6">
      <w:pPr>
        <w:rPr>
          <w:sz w:val="22"/>
          <w:szCs w:val="22"/>
        </w:rPr>
      </w:pPr>
    </w:p>
    <w:p w:rsidR="00743DA6" w:rsidRDefault="00D95D19">
      <w:pPr>
        <w:spacing w:before="240" w:after="240"/>
        <w:jc w:val="both"/>
        <w:rPr>
          <w:sz w:val="22"/>
          <w:szCs w:val="22"/>
        </w:rPr>
      </w:pPr>
      <w:r>
        <w:rPr>
          <w:sz w:val="22"/>
          <w:szCs w:val="22"/>
        </w:rPr>
        <w:t>La Personería de Bogotá presenta entre 2025 y 2026 un comportamiento presupuestal que combina avances puntuales con reducciones preocupantes para el cumplimiento de su misión constitucional, lo que amerita un análisis crítico y profundo. En 2025, la entidad registró un presupuesto programado de $261.483 millones, con giros efectivos por $198.187 millones (76%), evidenciando tanto un incremento de la demanda ciudadana como la presión operativa derivada del control disciplinario, la mediación de conflictos y la protección de derechos humanos en un contexto de mayor complejidad social y administrativa. Para 2026, la apropiación proyectada asciende a $303.980 millones, lo que representa un incremento del 16,25%, una mejora que debe reconocerse como un esfuerzo institucional por fortalecer la capacidad operativa de la Personería en frentes críticos como DD.HH., DIH, control preventivo y respuesta a quejas.</w:t>
      </w:r>
    </w:p>
    <w:p w:rsidR="00743DA6" w:rsidRDefault="00D95D19">
      <w:pPr>
        <w:spacing w:before="240" w:after="240"/>
        <w:jc w:val="both"/>
        <w:rPr>
          <w:sz w:val="22"/>
          <w:szCs w:val="22"/>
        </w:rPr>
      </w:pPr>
      <w:r>
        <w:rPr>
          <w:sz w:val="22"/>
          <w:szCs w:val="22"/>
        </w:rPr>
        <w:t>Sin embargo, este crecimiento nominal no oculta las disminuciones estructurales que se evidencian en rubros específicos como la modernización institucional y la capacidad tecnológica, ni compensa plenamente las brechas acumuladas en talento humano, despliegue territorial y carga procesal disciplinaria. El aumento para 2026, aunque positivo, resulta limitado frente a la ampliación de funciones establecidas en el Plan de Desarrollo, la mayor judicialización de las actuaciones administrativas y la necesidad de modernizar sistemas de gestión que se encuentran por debajo de los estándares de la Contraloría y de otras entidades de control. Este escenario plantea un cuestionamiento de fondo: ¿es el incremento asignado suficiente para garantizar una Personería capaz de responder a la creciente conflictividad urbana, fortalecer la prevención disciplinaria y proteger efectivamente los derechos fundamentales, o se trata de un ajuste marginal que no resuelve los déficits estructurales señalados en los documentos presupuestales? El presupuesto 2026 reconoce avances, pero aún no asegura un fortalecimiento integral de la entidad que resulte proporcional a la magnitud de sus responsabilidades.</w:t>
      </w:r>
    </w:p>
    <w:p w:rsidR="00743DA6" w:rsidRDefault="00743DA6"/>
    <w:p w:rsidR="00743DA6" w:rsidRDefault="00D95D19">
      <w:r>
        <w:rPr>
          <w:noProof/>
          <w:lang w:val="es-CO"/>
        </w:rPr>
        <w:drawing>
          <wp:inline distT="114300" distB="114300" distL="114300" distR="114300">
            <wp:extent cx="5610225" cy="3421555"/>
            <wp:effectExtent l="0" t="0" r="0" b="0"/>
            <wp:docPr id="2127399599"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69"/>
                    <a:srcRect/>
                    <a:stretch>
                      <a:fillRect/>
                    </a:stretch>
                  </pic:blipFill>
                  <pic:spPr>
                    <a:xfrm>
                      <a:off x="0" y="0"/>
                      <a:ext cx="5610225" cy="3421555"/>
                    </a:xfrm>
                    <a:prstGeom prst="rect">
                      <a:avLst/>
                    </a:prstGeom>
                    <a:ln/>
                  </pic:spPr>
                </pic:pic>
              </a:graphicData>
            </a:graphic>
          </wp:inline>
        </w:drawing>
      </w:r>
    </w:p>
    <w:p w:rsidR="00743DA6" w:rsidRDefault="00743DA6"/>
    <w:p w:rsidR="00743DA6" w:rsidRDefault="00743DA6"/>
    <w:p w:rsidR="00743DA6" w:rsidRDefault="00D95D19">
      <w:pPr>
        <w:rPr>
          <w:b/>
          <w:bCs/>
          <w:sz w:val="22"/>
          <w:szCs w:val="22"/>
        </w:rPr>
      </w:pPr>
      <w:r>
        <w:rPr>
          <w:b/>
          <w:bCs/>
          <w:sz w:val="22"/>
          <w:szCs w:val="22"/>
        </w:rPr>
        <w:t>Veeduría Distrital</w:t>
      </w:r>
    </w:p>
    <w:p w:rsidR="00743DA6" w:rsidRDefault="00743DA6">
      <w:pPr>
        <w:jc w:val="both"/>
        <w:rPr>
          <w:sz w:val="22"/>
          <w:szCs w:val="22"/>
          <w:highlight w:val="white"/>
        </w:rPr>
      </w:pPr>
      <w:bookmarkStart w:id="40" w:name="_heading=h.31lvehr9gk4n" w:colFirst="0" w:colLast="0"/>
      <w:bookmarkEnd w:id="40"/>
    </w:p>
    <w:p w:rsidR="00743DA6" w:rsidRDefault="00D95D19">
      <w:pPr>
        <w:spacing w:before="240" w:after="240"/>
        <w:jc w:val="both"/>
        <w:rPr>
          <w:sz w:val="22"/>
          <w:szCs w:val="22"/>
          <w:highlight w:val="white"/>
        </w:rPr>
      </w:pPr>
      <w:r>
        <w:rPr>
          <w:sz w:val="22"/>
          <w:szCs w:val="22"/>
          <w:highlight w:val="white"/>
        </w:rPr>
        <w:t>La Veeduría Distrital presenta entre 2025 y 2026 un comportamiento presupuestal que combina pequeños avances con limitaciones estructurales que deben ser analizadas con rigor técnico y político. En 2025, la entidad contó con un presupuesto programado de $35.423 millones, con giros efectivos por $26.867 millones (aprox. 76%), un nivel de ejecución que evidencia la presión operativa sobre un organismo cuya misión, control preventivo, participación incidente y vigilancia de la integridad pública, depende de capacidades analíticas, tecnológicas y territoriales que históricamente han sido insuficientemente financiadas. Para la vigencia 2026, el presupuesto proyectado asciende a $36.868 millones, lo que constituye un incremento nominal del 4,08%, una mejora positiva pero marginal que reconoce parcialmente la ampliación de funciones asociadas al Sistema Distrital de Integridad, el fortalecimiento del control ciudadano y la innovación pública.</w:t>
      </w:r>
    </w:p>
    <w:p w:rsidR="00743DA6" w:rsidRDefault="00D95D19">
      <w:pPr>
        <w:spacing w:before="240" w:after="240"/>
        <w:jc w:val="both"/>
        <w:rPr>
          <w:sz w:val="22"/>
          <w:szCs w:val="22"/>
          <w:highlight w:val="white"/>
        </w:rPr>
      </w:pPr>
      <w:r>
        <w:rPr>
          <w:sz w:val="22"/>
          <w:szCs w:val="22"/>
          <w:highlight w:val="white"/>
        </w:rPr>
        <w:t>Sin embargo, este aumento resulta claramente limitado frente a las demandas reales del contexto distrital y frente a la brecha operativa que separa a la Veeduría de la Contraloría y la Personería. Aunque se observan mejoras en inversión tecnológica y en capacidades de control preventivo, persisten disminuciones y rezagos en modernización institucional, despliegue territorial y fortalecimiento técnico, que comprometen la posibilidad de implementar herramientas robustas de analítica de riesgos de corrupción, seguimiento temprano a la contratación y alertas preventivas con impacto sobre la toma de decisiones. Esta situación plantea un cuestionamiento ¿es suficiente un crecimiento del 4% para una entidad llamada a prevenir fallas estructurales de la administración distrital en un presupuesto de más de $40 billones, o se está manteniendo a la Veeduría en una posición presupuestalmente débil que limita la eficacia del control preventivo? El presupuesto 2026 reconoce algunos avances, pero no garantiza un fortalecimiento proporcional al aumento de la complejidad administrativa ni al mandato ampliado de vigilancia ciudadana y transparencia que exige el Plan de Desarrollo.</w:t>
      </w:r>
    </w:p>
    <w:p w:rsidR="00743DA6" w:rsidRDefault="00743DA6">
      <w:pPr>
        <w:jc w:val="both"/>
        <w:rPr>
          <w:sz w:val="21"/>
          <w:szCs w:val="21"/>
          <w:highlight w:val="white"/>
        </w:rPr>
      </w:pPr>
    </w:p>
    <w:p w:rsidR="00743DA6" w:rsidRDefault="00743DA6">
      <w:pPr>
        <w:jc w:val="both"/>
        <w:rPr>
          <w:sz w:val="21"/>
          <w:szCs w:val="21"/>
          <w:highlight w:val="white"/>
        </w:rPr>
      </w:pPr>
    </w:p>
    <w:p w:rsidR="00743DA6" w:rsidRDefault="00D95D19">
      <w:pPr>
        <w:jc w:val="both"/>
        <w:rPr>
          <w:sz w:val="21"/>
          <w:szCs w:val="21"/>
          <w:highlight w:val="white"/>
        </w:rPr>
      </w:pPr>
      <w:r>
        <w:rPr>
          <w:noProof/>
          <w:sz w:val="21"/>
          <w:szCs w:val="21"/>
          <w:highlight w:val="white"/>
          <w:lang w:val="es-CO"/>
        </w:rPr>
        <w:drawing>
          <wp:inline distT="114300" distB="114300" distL="114300" distR="114300">
            <wp:extent cx="5612130" cy="2489200"/>
            <wp:effectExtent l="0" t="0" r="0" b="0"/>
            <wp:docPr id="212739960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70"/>
                    <a:srcRect/>
                    <a:stretch>
                      <a:fillRect/>
                    </a:stretch>
                  </pic:blipFill>
                  <pic:spPr>
                    <a:xfrm>
                      <a:off x="0" y="0"/>
                      <a:ext cx="5612130" cy="2489200"/>
                    </a:xfrm>
                    <a:prstGeom prst="rect">
                      <a:avLst/>
                    </a:prstGeom>
                    <a:ln/>
                  </pic:spPr>
                </pic:pic>
              </a:graphicData>
            </a:graphic>
          </wp:inline>
        </w:drawing>
      </w:r>
    </w:p>
    <w:p w:rsidR="00743DA6" w:rsidRDefault="00743DA6">
      <w:pPr>
        <w:jc w:val="both"/>
        <w:rPr>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D95D19">
      <w:pPr>
        <w:spacing w:after="240" w:line="259" w:lineRule="auto"/>
        <w:jc w:val="both"/>
        <w:rPr>
          <w:b/>
          <w:bCs/>
          <w:sz w:val="22"/>
          <w:szCs w:val="22"/>
        </w:rPr>
      </w:pPr>
      <w:r>
        <w:rPr>
          <w:rFonts w:ascii="Aptos" w:eastAsia="Aptos" w:hAnsi="Aptos" w:cs="Aptos"/>
          <w:b/>
          <w:bCs/>
          <w:sz w:val="22"/>
          <w:szCs w:val="22"/>
        </w:rPr>
        <w:t>Análisis proyecto por proyecto de inversión de los entes de control (Contraloría, Personería, Veeduría)</w:t>
      </w:r>
      <w:r>
        <w:rPr>
          <w:b/>
          <w:bCs/>
          <w:sz w:val="22"/>
          <w:szCs w:val="22"/>
        </w:rPr>
        <w:t xml:space="preserve"> </w:t>
      </w:r>
    </w:p>
    <w:p w:rsidR="00743DA6" w:rsidRDefault="00D95D19">
      <w:pPr>
        <w:spacing w:before="240" w:after="240" w:line="276" w:lineRule="auto"/>
        <w:ind w:right="62"/>
        <w:jc w:val="both"/>
        <w:rPr>
          <w:b/>
          <w:bCs/>
          <w:sz w:val="22"/>
          <w:szCs w:val="22"/>
        </w:rPr>
      </w:pPr>
      <w:r>
        <w:rPr>
          <w:sz w:val="22"/>
          <w:szCs w:val="22"/>
        </w:rPr>
        <w:t>A continuación se muestra la relación entre presupuesto 2025-2026  a nivel de compromiso y giro por proyecto de inversión de los entes de control:</w:t>
      </w:r>
    </w:p>
    <w:p w:rsidR="00743DA6" w:rsidRDefault="00D95D19">
      <w:pPr>
        <w:spacing w:before="240" w:after="240" w:line="259" w:lineRule="auto"/>
        <w:jc w:val="center"/>
        <w:rPr>
          <w:b/>
          <w:bCs/>
          <w:sz w:val="21"/>
          <w:szCs w:val="21"/>
          <w:highlight w:val="white"/>
        </w:rPr>
      </w:pPr>
      <w:r>
        <w:rPr>
          <w:sz w:val="18"/>
          <w:szCs w:val="18"/>
        </w:rPr>
        <w:t>Tabla. Proyectos de inversión comparativo 2025 proyección 2026</w:t>
      </w:r>
    </w:p>
    <w:p w:rsidR="00743DA6" w:rsidRDefault="00743DA6">
      <w:pPr>
        <w:jc w:val="both"/>
        <w:rPr>
          <w:b/>
          <w:bCs/>
          <w:sz w:val="21"/>
          <w:szCs w:val="21"/>
          <w:highlight w:val="white"/>
        </w:rPr>
      </w:pPr>
    </w:p>
    <w:tbl>
      <w:tblPr>
        <w:tblStyle w:val="afffffffff2"/>
        <w:tblW w:w="8565" w:type="dxa"/>
        <w:tblBorders>
          <w:top w:val="nil"/>
          <w:left w:val="nil"/>
          <w:bottom w:val="nil"/>
          <w:right w:val="nil"/>
          <w:insideH w:val="nil"/>
          <w:insideV w:val="nil"/>
        </w:tblBorders>
        <w:tblLayout w:type="fixed"/>
        <w:tblLook w:val="0600" w:firstRow="0" w:lastRow="0" w:firstColumn="0" w:lastColumn="0" w:noHBand="1" w:noVBand="1"/>
      </w:tblPr>
      <w:tblGrid>
        <w:gridCol w:w="1620"/>
        <w:gridCol w:w="1635"/>
        <w:gridCol w:w="1590"/>
        <w:gridCol w:w="1200"/>
        <w:gridCol w:w="1170"/>
        <w:gridCol w:w="1350"/>
      </w:tblGrid>
      <w:tr w:rsidR="00743DA6">
        <w:trPr>
          <w:trHeight w:val="755"/>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Etiquetas de fila</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Suma de 2025_PROG </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Suma de 2025_COMPROMISOS</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Suma de 2025_GIROS</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Suma de 2026_PROG </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Suma de Diferencia PROG </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Contribución a una cultura de innovación pública para la eficiencia y el control de carácter preventivo en las entidades del distrito - LABCAPITAL en Bogotá D.C</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686,37</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643,51</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393,45</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682,86</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3,51</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Control Social para la promoción de la Cultura de Integridad, Transparencia y Anticorrupción en las Entidades y Empresas en las que el Distrito tiene participación en Bogotá D.C.</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1.352,01</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1.294,86</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791,52</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$1.254,45</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97,56</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Fortalecimiento de capacidades institucionales y tecnológicas para el control y la vigilancia de carácter preventivo en Bogotá D.C.</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1.307,59</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878,03</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559,22</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$1.344,17</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36,58</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Fortalecimiento de la capacidad Institucional de la Contraloría de Bogotá</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16.929,94</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16.049,05</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$10.986,72</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$16.500,00</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429,94</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Fortalecimiento de la gestión de la potestad disciplinaria en la Personería de Bogotá D.C.</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1.511,15</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1.501,85</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991,48</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$1.347,00</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164,15</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Fortalecimiento de la gestión y la infraestructura de TI que soporte el modelo de operación e innovación tecnológica para el cumplimiento de los objetivos de la Contraloría de Bogotá D.C.</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5.363,80</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2.237,54</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681,16</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5.200,00</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163,80</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Fortalecimiento de la Infraestructura Física y Dotación de Mobiliario de la Contraloría de Bogotá D.C.</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1.031,50</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972,27</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942,14</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1.000,00</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31,50</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Fortalecimiento del Control Social como Insumo para el Control Fiscal Bogotá D.C.</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969,61</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954,12</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591,75</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1.000,00</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30,39</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Fortalecimiento del ejercicio de prevención y control a la función pública en la Personería de Bogotá D.C.</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1.680,16</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1.670,92</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1.474,24</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1.468,00</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212,16</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Fortalecimiento del ejercicio de protección de los derechos humanos y el derecho internacional humanitario en la Personería de Bogotá D.C.</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1.543,11</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1.510,39</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1.222,71</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1.489,38</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53,74</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Implementación del Control Fiscal Digital al servicio del ciudadano. Bogotá D.C.</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13.822,10</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13.203,20</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$10.187,58</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5.594,32</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8.227,78</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Modernización institucional de la Personería de Bogotá D.C.</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3.072,85</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3.072,84</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2.431,55</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1.600,00</w:t>
            </w:r>
          </w:p>
        </w:tc>
        <w:tc>
          <w:tcPr>
            <w:tcW w:w="0" w:type="auto"/>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1.472,85</w:t>
            </w:r>
          </w:p>
        </w:tc>
      </w:tr>
      <w:tr w:rsidR="00743DA6">
        <w:trPr>
          <w:trHeight w:val="470"/>
        </w:trPr>
        <w:tc>
          <w:tcPr>
            <w:tcW w:w="0" w:type="auto"/>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Total general</w:t>
            </w:r>
          </w:p>
        </w:tc>
        <w:tc>
          <w:tcPr>
            <w:tcW w:w="0" w:type="auto"/>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49.270,19</w:t>
            </w:r>
          </w:p>
        </w:tc>
        <w:tc>
          <w:tcPr>
            <w:tcW w:w="0" w:type="auto"/>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        43.988,59</w:t>
            </w:r>
          </w:p>
        </w:tc>
        <w:tc>
          <w:tcPr>
            <w:tcW w:w="0" w:type="auto"/>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$31.253,54</w:t>
            </w:r>
          </w:p>
        </w:tc>
        <w:tc>
          <w:tcPr>
            <w:tcW w:w="0" w:type="auto"/>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xml:space="preserve"> $38.480,18</w:t>
            </w:r>
          </w:p>
        </w:tc>
        <w:tc>
          <w:tcPr>
            <w:tcW w:w="0" w:type="auto"/>
            <w:tcBorders>
              <w:top w:val="single" w:sz="5" w:space="0" w:color="000000"/>
              <w:left w:val="single" w:sz="5" w:space="0" w:color="000000"/>
              <w:bottom w:val="single" w:sz="5" w:space="0" w:color="000000"/>
              <w:right w:val="single" w:sz="5" w:space="0" w:color="000000"/>
            </w:tcBorders>
            <w:shd w:val="clear" w:color="auto" w:fill="DDEBF7"/>
            <w:tcMar>
              <w:top w:w="100" w:type="dxa"/>
              <w:left w:w="100" w:type="dxa"/>
              <w:bottom w:w="100" w:type="dxa"/>
              <w:right w:w="100" w:type="dxa"/>
            </w:tcMar>
          </w:tcPr>
          <w:p w:rsidR="00743DA6" w:rsidRDefault="00D95D19">
            <w:pPr>
              <w:jc w:val="both"/>
              <w:rPr>
                <w:b/>
                <w:bCs/>
                <w:sz w:val="18"/>
                <w:szCs w:val="18"/>
                <w:highlight w:val="white"/>
              </w:rPr>
            </w:pPr>
            <w:r>
              <w:rPr>
                <w:b/>
                <w:bCs/>
                <w:sz w:val="18"/>
                <w:szCs w:val="18"/>
                <w:highlight w:val="white"/>
              </w:rPr>
              <w:t>-$   10.790,01</w:t>
            </w:r>
          </w:p>
        </w:tc>
      </w:tr>
    </w:tbl>
    <w:p w:rsidR="00743DA6" w:rsidRDefault="00743DA6">
      <w:pPr>
        <w:jc w:val="both"/>
        <w:rPr>
          <w:b/>
          <w:bCs/>
          <w:sz w:val="21"/>
          <w:szCs w:val="21"/>
          <w:highlight w:val="white"/>
        </w:rPr>
      </w:pPr>
    </w:p>
    <w:p w:rsidR="00743DA6" w:rsidRDefault="00743DA6">
      <w:pPr>
        <w:jc w:val="both"/>
        <w:rPr>
          <w:b/>
          <w:bCs/>
          <w:sz w:val="21"/>
          <w:szCs w:val="21"/>
          <w:highlight w:val="white"/>
        </w:rPr>
      </w:pPr>
    </w:p>
    <w:p w:rsidR="00743DA6" w:rsidRDefault="00D95D19">
      <w:pPr>
        <w:jc w:val="both"/>
        <w:rPr>
          <w:b/>
          <w:bCs/>
          <w:sz w:val="21"/>
          <w:szCs w:val="21"/>
          <w:highlight w:val="white"/>
        </w:rPr>
      </w:pPr>
      <w:r>
        <w:rPr>
          <w:b/>
          <w:bCs/>
          <w:sz w:val="21"/>
          <w:szCs w:val="21"/>
          <w:highlight w:val="white"/>
        </w:rPr>
        <w:t>Contribución a una cultura de innovación pública para la eficiencia y el control de carácter preventivo de las entidades del distrito - LABCAPITAL en Bogotá D.C.</w:t>
      </w:r>
    </w:p>
    <w:p w:rsidR="00743DA6" w:rsidRDefault="00D95D19">
      <w:pPr>
        <w:spacing w:before="240" w:after="240"/>
        <w:jc w:val="both"/>
        <w:rPr>
          <w:sz w:val="21"/>
          <w:szCs w:val="21"/>
          <w:highlight w:val="white"/>
        </w:rPr>
      </w:pPr>
      <w:r>
        <w:rPr>
          <w:sz w:val="21"/>
          <w:szCs w:val="21"/>
          <w:highlight w:val="white"/>
        </w:rPr>
        <w:t xml:space="preserve">Respecto del proyecto de inversión, </w:t>
      </w:r>
      <w:r>
        <w:rPr>
          <w:i/>
          <w:iCs/>
          <w:sz w:val="21"/>
          <w:szCs w:val="21"/>
          <w:highlight w:val="white"/>
        </w:rPr>
        <w:t>“Contribución a una cultura de innovación pública – LABCAPITAL”</w:t>
      </w:r>
      <w:r>
        <w:rPr>
          <w:sz w:val="21"/>
          <w:szCs w:val="21"/>
          <w:highlight w:val="white"/>
        </w:rPr>
        <w:t xml:space="preserve"> muestra para 2026 un presupuesto prácticamente estable frente a 2025, pasando de $686,37 millones a $682,86 millones, lo que representa una caída marginal de -$3,51 millones, cifra que confirma una tendencia de contención presupuestal para la Veeduría Distrital pese al aumento de obligaciones en materia de control preventivo, analítica de riesgos y fortalecimiento del Sistema Distrital de Integridad. Aunque algunas actividades estratégicas presentan incrementos, como la promoción de conocimiento en innovación pública (+$20,93 millones), los procesos de co-creación (+$17,20 millones) y la formación de servidores públicos (+$15,73 millones)—, el recorte significativo en la medición del Índice de Innovación Pública (–$57,36 millones) demuestra un desplazamiento de prioridades que puede debilitar la capacidad de la entidad para generar métricas objetivas y comparables del desempeño institucional en innovación y control preventivo.</w:t>
      </w:r>
    </w:p>
    <w:p w:rsidR="00743DA6" w:rsidRDefault="00D95D19">
      <w:pPr>
        <w:spacing w:before="240" w:after="240"/>
        <w:jc w:val="both"/>
        <w:rPr>
          <w:sz w:val="21"/>
          <w:szCs w:val="21"/>
          <w:highlight w:val="white"/>
        </w:rPr>
      </w:pPr>
      <w:r>
        <w:rPr>
          <w:sz w:val="21"/>
          <w:szCs w:val="21"/>
          <w:highlight w:val="white"/>
        </w:rPr>
        <w:t>Estas variaciones reflejan una tensión entre el discurso distrital sobre fortalecimiento del control temprano y la evidencia presupuestal disponible. El leve incremento en algunas actividades sugiere un esfuerzo por sostener iniciativas de innovación, pero la reducción en componentes de medición y analítica evidencia una brecha crítica, la Veeduría mantiene actividades operativas, pero sin el crecimiento necesario en capacidades técnicas que permitan anticipar riesgos de corrupción y evaluar la eficacia de la innovación pública dentro del Distrito. Este comportamiento presupuestal, sumado a los recortes generales enunciados en el Libro Cero, plantea un interrogante de fondo sobre la coherencia del Distrito al priorizar la vigilancia preventiva ¿cómo garantizar un control efectivo cuando el proyecto de inversión responsable de generar cultura de integridad opera con recursos estancados y con recortes en las herramientas de medición que fundamentan la toma de decisiones? Estas cifras confirman que, aunque hay mejoras puntuales, el fortalecimiento real del control preventivo continúa siendo insuficiente frente a la complejidad del gasto distrital 2026.</w:t>
      </w:r>
    </w:p>
    <w:p w:rsidR="00743DA6" w:rsidRDefault="00D95D19">
      <w:pPr>
        <w:spacing w:before="240" w:after="240"/>
        <w:jc w:val="both"/>
        <w:rPr>
          <w:b/>
          <w:bCs/>
          <w:sz w:val="21"/>
          <w:szCs w:val="21"/>
          <w:highlight w:val="white"/>
        </w:rPr>
      </w:pPr>
      <w:r>
        <w:rPr>
          <w:b/>
          <w:bCs/>
          <w:sz w:val="21"/>
          <w:szCs w:val="21"/>
          <w:highlight w:val="white"/>
        </w:rPr>
        <w:t>Control Social para la promoción de la Cultura de Integridad, Transparencia y Anticorrupción en las Entidades y Empresas en las que el Distrito tiene participación en Bogotá D.C.</w:t>
      </w:r>
    </w:p>
    <w:p w:rsidR="00743DA6" w:rsidRDefault="00D95D19">
      <w:pPr>
        <w:spacing w:before="240" w:after="240"/>
        <w:jc w:val="both"/>
        <w:rPr>
          <w:sz w:val="21"/>
          <w:szCs w:val="21"/>
          <w:highlight w:val="white"/>
        </w:rPr>
      </w:pPr>
      <w:r>
        <w:rPr>
          <w:sz w:val="21"/>
          <w:szCs w:val="21"/>
          <w:highlight w:val="white"/>
        </w:rPr>
        <w:t xml:space="preserve">El proyecto de inversión orientado al fortalecimiento del </w:t>
      </w:r>
      <w:r>
        <w:rPr>
          <w:i/>
          <w:iCs/>
          <w:sz w:val="21"/>
          <w:szCs w:val="21"/>
          <w:highlight w:val="white"/>
        </w:rPr>
        <w:t>Control Social y la Cultura de Integridad</w:t>
      </w:r>
      <w:r>
        <w:rPr>
          <w:sz w:val="21"/>
          <w:szCs w:val="21"/>
          <w:highlight w:val="white"/>
        </w:rPr>
        <w:t xml:space="preserve"> evidencia una reducción significativa, pasando de $1.352,01 millones en 2025 a $1.254,45 millones para el año 2026, lo que implica una disminución de –$97,56 millones, contradictoria con el discurso distrital de fortalecer la transparencia y la lucha anticorrupción. Esta caída se refleja de manera crítica en componentes esenciales para la analítica de riesgos y la producción de conocimiento: actividades como la elaboración de estudios estadísticos fundamentales para comprender patrones de corrupción, soborno y percepción ciudadana, sufren una reducción notable de –$166,26 millones, debilitando la base metodológica del control preventivo. A pesar de ello, el proyecto presenta incrementos importantes en actividades asociadas a cultura de denuncia (+$122,95 millones) y asistencia en Conducta Empresarial Responsable (+$108,92 millones), mostrando un intento por enfocar esfuerzos en integridad corporativa y fortalecimiento simbólico del sistema anticorrupción, pero sin el soporte técnico y analítico suficiente para garantizar impacto estructural.</w:t>
      </w:r>
    </w:p>
    <w:p w:rsidR="00743DA6" w:rsidRDefault="00D95D19">
      <w:pPr>
        <w:spacing w:before="240" w:after="240"/>
        <w:jc w:val="both"/>
        <w:rPr>
          <w:sz w:val="21"/>
          <w:szCs w:val="21"/>
          <w:highlight w:val="white"/>
        </w:rPr>
      </w:pPr>
      <w:r>
        <w:rPr>
          <w:sz w:val="21"/>
          <w:szCs w:val="21"/>
          <w:highlight w:val="white"/>
        </w:rPr>
        <w:t>Estas variaciones presupuestales revelan un escenario confuso, por un lado, el Distrito reivindica la integridad pública como eje central de su Plan de Desarrollo; pero por el otro, aplica recortes en las actividades que permiten medir, caracterizar y anticipar riesgos de corrupción, reduciendo la capacidad estratégica de la Veeduría y limitando la sofisticación del control preventivo. El aumento en actividades de cultura de denuncia, fortalecimiento de grupos sociales y asistencia a empresas refleja un énfasis más pedagógico y comunicacional que técnico, lo cual genera una brecha frente a la necesidad creciente de contar con información de alta calidad para orientar decisiones de control en un presupuesto distrital que supera los $40 billones. En este contexto, la disminución de recursos para estudios, datos y analítica debilita las herramientas que sostienen la vigilancia inteligente del riesgo, planteando una pregunta importante ¿cómo promover integridad pública si se recortan justamente los instrumentos que permiten diagnosticar y anticipar la corrupción?</w:t>
      </w:r>
    </w:p>
    <w:p w:rsidR="00743DA6" w:rsidRDefault="00D95D19">
      <w:pPr>
        <w:spacing w:before="240" w:after="240"/>
        <w:jc w:val="both"/>
        <w:rPr>
          <w:b/>
          <w:bCs/>
          <w:sz w:val="21"/>
          <w:szCs w:val="21"/>
          <w:highlight w:val="white"/>
        </w:rPr>
      </w:pPr>
      <w:r>
        <w:rPr>
          <w:b/>
          <w:bCs/>
          <w:sz w:val="21"/>
          <w:szCs w:val="21"/>
          <w:highlight w:val="white"/>
        </w:rPr>
        <w:t>Fortalecimiento de capacidades institucionales y tecnológicas para el control y la vigilancia de carácter preventivo en Bogotá D.C.</w:t>
      </w:r>
    </w:p>
    <w:p w:rsidR="00743DA6" w:rsidRDefault="00D95D19">
      <w:pPr>
        <w:spacing w:before="240" w:after="240"/>
        <w:jc w:val="both"/>
        <w:rPr>
          <w:sz w:val="21"/>
          <w:szCs w:val="21"/>
          <w:highlight w:val="white"/>
        </w:rPr>
      </w:pPr>
      <w:r>
        <w:rPr>
          <w:sz w:val="21"/>
          <w:szCs w:val="21"/>
          <w:highlight w:val="white"/>
        </w:rPr>
        <w:t xml:space="preserve">Con relación al proyecto de </w:t>
      </w:r>
      <w:r>
        <w:rPr>
          <w:i/>
          <w:iCs/>
          <w:sz w:val="21"/>
          <w:szCs w:val="21"/>
          <w:highlight w:val="white"/>
        </w:rPr>
        <w:t>fortalecimiento institucional y tecnológico</w:t>
      </w:r>
      <w:r>
        <w:rPr>
          <w:sz w:val="21"/>
          <w:szCs w:val="21"/>
          <w:highlight w:val="white"/>
        </w:rPr>
        <w:t xml:space="preserve"> de la Veeduría Distrital, pasa de $1.307,59 millones a $1.344,17 millones en 2026, un aumento leve de $36,58 millones que, si bien puede interpretarse como un esfuerzo por modernizar capacidades de control preventivo, contrasta con la magnitud de las brechas tecnológicas señaladas en el POAI, en los anexos de inversión y en el propio diagnóstico institucional. El incremento se concentra en componentes técnicos de alto impacto, como la integración del sistema de monitoreo con nuevas tecnologías (+$199,40 millones), el fortalecimiento del plan tecnológico (+$66,38 millones) y la construcción de una bodega de datos misional (+$22,23 millones), lo cual demuestra, al menos parcialmente, una reorientación hacia la analítica de datos y el uso intensivo de información para prevenir riesgos de corrupción. Sin embargo, este fortalecimiento ocurre después de años de rezagos institucionales y en un contexto donde las demandas de vigilancia preventiva crecen exponencialmente frente al aumento del presupuesto distrital.</w:t>
      </w:r>
    </w:p>
    <w:p w:rsidR="00743DA6" w:rsidRDefault="00D95D19">
      <w:pPr>
        <w:spacing w:before="240" w:after="240"/>
        <w:jc w:val="both"/>
        <w:rPr>
          <w:sz w:val="21"/>
          <w:szCs w:val="21"/>
          <w:highlight w:val="white"/>
        </w:rPr>
      </w:pPr>
      <w:r>
        <w:rPr>
          <w:sz w:val="21"/>
          <w:szCs w:val="21"/>
          <w:highlight w:val="white"/>
        </w:rPr>
        <w:t xml:space="preserve">Además, actividades fundamentales para la gestión estratégica del control preventivo comienzan en 2026 desde cero, como la implementación tecnológica ($20,00 millones), el diagnóstico FURAG ($10,50 millones), la adecuación del SIG-PAS ($8,50 millones) y los seguimientos MIPG ($10,50 millones), a los que en 2025 no se les asigno recursos, lo que revela la existencia de vacíos en ejercicios previos y la persistencia de limitaciones estructurales. El proyecto muestra un avance, pero insuficiente, se incrementan rubros clave, pero no al ritmo que exige un Distrito cuya complejidad administrativa y contractual sigue creciendo. Este comportamiento confirma una contradicción ya señalada en los demás documentos del sector control, la inversión mejora, pero no se fortalece integralmente la capacidad preventiva, generando dudas sobre si la Veeduría contará con los recursos suficientes para sostener un control moderno, oportuno y proporcional a los riesgos públicos del presupuesto 2026. </w:t>
      </w:r>
    </w:p>
    <w:p w:rsidR="00743DA6" w:rsidRDefault="00D95D19">
      <w:pPr>
        <w:spacing w:before="240" w:after="240"/>
        <w:jc w:val="both"/>
        <w:rPr>
          <w:b/>
          <w:bCs/>
          <w:sz w:val="21"/>
          <w:szCs w:val="21"/>
          <w:highlight w:val="white"/>
        </w:rPr>
      </w:pPr>
      <w:r>
        <w:rPr>
          <w:b/>
          <w:bCs/>
          <w:sz w:val="21"/>
          <w:szCs w:val="21"/>
          <w:highlight w:val="white"/>
        </w:rPr>
        <w:t>Fortalecimiento de la capacidad Institucional de la Contraloría de Bogotá</w:t>
      </w:r>
    </w:p>
    <w:p w:rsidR="00743DA6" w:rsidRDefault="00D95D19">
      <w:pPr>
        <w:spacing w:before="240" w:after="240"/>
        <w:jc w:val="both"/>
        <w:rPr>
          <w:sz w:val="21"/>
          <w:szCs w:val="21"/>
          <w:highlight w:val="white"/>
        </w:rPr>
      </w:pPr>
      <w:r>
        <w:rPr>
          <w:sz w:val="21"/>
          <w:szCs w:val="21"/>
          <w:highlight w:val="white"/>
        </w:rPr>
        <w:t xml:space="preserve">El proyecto </w:t>
      </w:r>
      <w:r>
        <w:rPr>
          <w:i/>
          <w:iCs/>
          <w:sz w:val="21"/>
          <w:szCs w:val="21"/>
          <w:highlight w:val="white"/>
        </w:rPr>
        <w:t>“Fortalecimiento de la capacidad institucional de la Contraloría de Bogotá”</w:t>
      </w:r>
      <w:r>
        <w:rPr>
          <w:sz w:val="21"/>
          <w:szCs w:val="21"/>
          <w:highlight w:val="white"/>
        </w:rPr>
        <w:t xml:space="preserve"> evidencia una reducción neta en su presupuesto para 2026, pasando de $16.929,94 millones a $16.500,00 millones, lo que representa un recorte de –$429,94 millones, en un contexto donde el Distrito incrementa la complejidad del gasto público y donde la vigilancia fiscal exige mayor capacidad técnica, operativa y analítica. La disminución afecta especialmente el soporte directo al control fiscal, el componente de apoyo al Plan de Auditoría Distrital (PAD) cae en –$460,55 millones, debilitando la columna vertebral del sistema auditor en la ciudad; también se reducen recursos para la gestión documental (–$23,83 millones) y para el PIGA institucional (–$4,73 millones). Aunque algunos rubros presentan incrementos como el fortalecimiento de sistemas de gestión (+$34,25 millones) y el apoyo a responsabilidad fiscal (+$15,16 millones), estos ajustes son marginales frente a la magnitud del recorte, y se distribuyen en actividades que, si bien relevantes, no compensan la pérdida en áreas críticas de fiscalización.</w:t>
      </w:r>
    </w:p>
    <w:p w:rsidR="00743DA6" w:rsidRDefault="00D95D19">
      <w:pPr>
        <w:spacing w:before="240" w:after="240"/>
        <w:jc w:val="both"/>
        <w:rPr>
          <w:sz w:val="21"/>
          <w:szCs w:val="21"/>
          <w:highlight w:val="white"/>
        </w:rPr>
      </w:pPr>
      <w:r>
        <w:rPr>
          <w:sz w:val="21"/>
          <w:szCs w:val="21"/>
          <w:highlight w:val="white"/>
        </w:rPr>
        <w:t>Estas cifras revelan una contradicción profunda dentro del presupuesto distrital 2026, mientras el gasto total de la ciudad supera los $40 billones, y el POAI incorpora proyectos de infraestructura, movilidad, salud y obra pública de alto riesgo fiscal, la Contraloría recibe menos recursos para su misión esencial de vigilancia y control fiscal. La reducción en el corazón operativo del PAD limita la capacidad de detectar riesgos, auditar a tiempo y sostener procesos de responsabilidad fiscal. Esta situación pone de presente un debate crítico, ¿cómo garantizar un control fiscal eficaz si el principal proyecto de fortalecimiento institucional de la Contraloría disminuye en lugar de ampliarse? El recorte, combinado con incrementos marginales, evidencia un fortalecimiento insuficiente y genera incertidumbre sobre la capacidad real de la entidad para cumplir su mandato en una ciudad cuya dinámica fiscal y contractual exige más, no menos, vigilancia técnica especializada.</w:t>
      </w:r>
    </w:p>
    <w:p w:rsidR="00743DA6" w:rsidRDefault="00D95D19">
      <w:pPr>
        <w:spacing w:before="240" w:after="240"/>
        <w:jc w:val="both"/>
        <w:rPr>
          <w:sz w:val="21"/>
          <w:szCs w:val="21"/>
          <w:highlight w:val="white"/>
        </w:rPr>
      </w:pPr>
      <w:r>
        <w:rPr>
          <w:sz w:val="21"/>
          <w:szCs w:val="21"/>
          <w:highlight w:val="white"/>
        </w:rPr>
        <w:t xml:space="preserve"> </w:t>
      </w:r>
    </w:p>
    <w:p w:rsidR="00743DA6" w:rsidRDefault="00D95D19">
      <w:pPr>
        <w:spacing w:before="240" w:after="240"/>
        <w:jc w:val="both"/>
        <w:rPr>
          <w:b/>
          <w:bCs/>
          <w:sz w:val="21"/>
          <w:szCs w:val="21"/>
          <w:highlight w:val="white"/>
        </w:rPr>
      </w:pPr>
      <w:r>
        <w:rPr>
          <w:b/>
          <w:bCs/>
          <w:sz w:val="21"/>
          <w:szCs w:val="21"/>
          <w:highlight w:val="white"/>
        </w:rPr>
        <w:t>Fortalecimiento de la potestad disciplinaria de la Personería de Bogotá D.C.</w:t>
      </w:r>
    </w:p>
    <w:p w:rsidR="00743DA6" w:rsidRDefault="00D95D19">
      <w:pPr>
        <w:spacing w:before="240" w:after="240"/>
        <w:jc w:val="both"/>
        <w:rPr>
          <w:sz w:val="21"/>
          <w:szCs w:val="21"/>
          <w:highlight w:val="white"/>
        </w:rPr>
      </w:pPr>
      <w:r>
        <w:rPr>
          <w:sz w:val="21"/>
          <w:szCs w:val="21"/>
          <w:highlight w:val="white"/>
        </w:rPr>
        <w:t xml:space="preserve">Con relación al proyecto </w:t>
      </w:r>
      <w:r>
        <w:rPr>
          <w:i/>
          <w:iCs/>
          <w:sz w:val="21"/>
          <w:szCs w:val="21"/>
          <w:highlight w:val="white"/>
        </w:rPr>
        <w:t>“Fortalecimiento de la potestad disciplinaria”</w:t>
      </w:r>
      <w:r>
        <w:rPr>
          <w:sz w:val="21"/>
          <w:szCs w:val="21"/>
          <w:highlight w:val="white"/>
        </w:rPr>
        <w:t xml:space="preserve"> de la Personería, se evidencia para 2026 una reducción significativa, pasa de $1.511,15 millones a $1.347,00 millones, una caída de –$164,15 millones, precisamente en un año en el que el Distrito incrementa su complejidad administrativa, contractual y presupuestal. La disminución golpea con fuerza la columna vertebral de la función disciplinaria, la actividad de resolución de la situación disciplinaria de 9.800 servidores, una de las más críticas para combatir la impunidad administrativa, cae de manera abrupta en –$345,66 millones, debilitando la capacidad de sustanciación y el impulso procesal. Asimismo, se reducen recursos para procesos pedagógicos y de sensibilización (–$9,45 millones) y para la producción documental técnico–jurídica (–$3,15 millones). Aunque existen incrementos estratégicos en actividades como el diseño metodológico disciplinario (+$66,47 millones), la articulación interinstitucional (+$37,80 millones) y el seguimiento a oficinas de control interno disciplinario (+$89,84 millones), estos aumentos no compensan la pérdida sustancial en la función determinante, la investigación disciplinaria propiamente dicha.</w:t>
      </w:r>
    </w:p>
    <w:p w:rsidR="00743DA6" w:rsidRDefault="00D95D19">
      <w:pPr>
        <w:spacing w:before="240" w:after="240"/>
        <w:jc w:val="both"/>
        <w:rPr>
          <w:b/>
          <w:bCs/>
          <w:sz w:val="21"/>
          <w:szCs w:val="21"/>
          <w:highlight w:val="white"/>
        </w:rPr>
      </w:pPr>
      <w:r>
        <w:rPr>
          <w:sz w:val="21"/>
          <w:szCs w:val="21"/>
          <w:highlight w:val="white"/>
        </w:rPr>
        <w:t>Este comportamiento presupuestal plantea un cuestionamiento, ¿cómo puede fortalecerse la lucha contra la corrupción administrativa cuando el proyecto destinado a garantizar la rectoría disciplinaria del Distrito pierde recursos en las actividades más sensibles? El recorte llega en un momento en el que el propio POAI y el Libro Cero reconocen un aumento en la conflictividad administrativa y en la demanda ciudadana por sanción disciplinaria efectiva. Desfinanciar la capacidad de resolver procesos disciplinarios y reducir el músculo para responder a más de 9.000 casos al año, envía una señal contradictoria con las metas del Plan de Desarrollo “Bogotá Camina Segura”, que promete fortalecer la integridad y la transparencia. Aunque hay avances metodológicos y de coordinación, el proyecto muestra un fortalecimiento parcial, insuficiente frente a la presión institucional real. La pregunta es inevitable: ¿puede la Personería garantizar un control disciplinario oportuno y eficaz con un presupuesto que recorta precisamente las actividades donde se define la eficacia del sistema disciplinario del Distrito?</w:t>
      </w:r>
    </w:p>
    <w:p w:rsidR="00743DA6" w:rsidRDefault="00D95D19">
      <w:pPr>
        <w:spacing w:before="240" w:after="240"/>
        <w:jc w:val="both"/>
        <w:rPr>
          <w:b/>
          <w:bCs/>
          <w:sz w:val="21"/>
          <w:szCs w:val="21"/>
          <w:highlight w:val="white"/>
        </w:rPr>
      </w:pPr>
      <w:r>
        <w:rPr>
          <w:b/>
          <w:bCs/>
          <w:sz w:val="21"/>
          <w:szCs w:val="21"/>
          <w:highlight w:val="white"/>
        </w:rPr>
        <w:t>Fortalecimiento de la gestión y la Infraestructura de TI que soporte el modelo de operación tecnológica para el cumplimiento de los objetivos de la Contraloría de Bogotá D.C.</w:t>
      </w:r>
    </w:p>
    <w:p w:rsidR="00743DA6" w:rsidRDefault="00D95D19">
      <w:pPr>
        <w:spacing w:before="240" w:after="240"/>
        <w:jc w:val="both"/>
        <w:rPr>
          <w:sz w:val="21"/>
          <w:szCs w:val="21"/>
          <w:highlight w:val="white"/>
        </w:rPr>
      </w:pPr>
      <w:r>
        <w:rPr>
          <w:sz w:val="21"/>
          <w:szCs w:val="21"/>
          <w:highlight w:val="white"/>
        </w:rPr>
        <w:t xml:space="preserve">El proyecto de inversión </w:t>
      </w:r>
      <w:r>
        <w:rPr>
          <w:i/>
          <w:iCs/>
          <w:sz w:val="21"/>
          <w:szCs w:val="21"/>
          <w:highlight w:val="white"/>
        </w:rPr>
        <w:t>“Fortalecimiento de la gestión y la infraestructura de TI”</w:t>
      </w:r>
      <w:r>
        <w:rPr>
          <w:sz w:val="21"/>
          <w:szCs w:val="21"/>
          <w:highlight w:val="white"/>
        </w:rPr>
        <w:t xml:space="preserve"> de la Contraloría Distrital presenta una reducción presupuestal para la vigencia 2026, pasando de $5.363,80 millones en 2025 a $5.200 millones, con una caída de –$163,80 millones, a pesar de ser la línea estratégica que sostiene el control fiscal digital del Distrito. La disminución afecta su núcleo operativo, la compra y renovación de infraestructura de TI cae en –$154,35 millones, reduciendo la capacidad de procesamiento de datos, monitoreo contractual y seguridad de la información; y la consolidación de sistemas misionales retrocede en –$9,45 millones, limitando la integración tecnológica que exige el control fiscal moderno. Estas reducciones contrastan de manera evidente con el crecimiento del presupuesto de inversión distrital y con el incremento del universo contractual derivado de obras públicas, movilidad, salud, educación y recursos del SGP, todos ellos sectores altamente dependientes del control fiscal digital y de herramientas de trazabilidad. En este escenario, recortar la infraestructura tecnológica de la Contraloría supone debilitar la capacidad de vigilancia en el mismo momento en que el Distrito crece y se complejiza.</w:t>
      </w:r>
    </w:p>
    <w:p w:rsidR="00743DA6" w:rsidRDefault="00D95D19">
      <w:pPr>
        <w:spacing w:before="240" w:after="240"/>
        <w:jc w:val="both"/>
        <w:rPr>
          <w:sz w:val="21"/>
          <w:szCs w:val="21"/>
          <w:highlight w:val="white"/>
        </w:rPr>
      </w:pPr>
      <w:r>
        <w:rPr>
          <w:sz w:val="21"/>
          <w:szCs w:val="21"/>
          <w:highlight w:val="white"/>
        </w:rPr>
        <w:t>Los recortes al proyecto TI resultan contradictorios cuando Bogotá enfrenta un aumento del 8,2% en ingresos fiscales, una expansión contractual, un crecimiento del 3,4% del valor agregado y un incremento sustancial del riesgo fiscal y operativo. La ciudad requiere un Sistema Tecnológico de Control Fiscal con IA generativa, georreferenciación, analítica avanzada, alertas tempranas, trazabilidad contractual y participación ciudadana digital, cuya implementación tiene un costo estimado de $4.000 millones, cifra mínima para garantizar soberanía de datos, interoperabilidad y vigilancia efectiva. Reducir la inversión en TI en 2026 implica ignorar la brecha tecnológica señalada en el análisis macroeconómico y fiscal, comprometer la capacidad de reacción frente a irregularidades y mantener un modelo de control posterior insuficiente para una ciudad de más de $40 billones en presupuesto. La evidencia técnica concluye que se requiere no solo frenar el recorte, sino adicionar recursos, como lo propone la estrategia institucional, para viabilizar un sistema tecnológico que permita auditorías basadas en datos, participación ciudadana verificable y alertas tempranas en tiempo real.</w:t>
      </w:r>
    </w:p>
    <w:p w:rsidR="00743DA6" w:rsidRDefault="00D95D19">
      <w:pPr>
        <w:spacing w:before="240" w:after="240"/>
        <w:jc w:val="both"/>
        <w:rPr>
          <w:b/>
          <w:bCs/>
          <w:sz w:val="21"/>
          <w:szCs w:val="21"/>
          <w:highlight w:val="white"/>
        </w:rPr>
      </w:pPr>
      <w:r>
        <w:rPr>
          <w:b/>
          <w:bCs/>
          <w:sz w:val="21"/>
          <w:szCs w:val="21"/>
          <w:highlight w:val="white"/>
        </w:rPr>
        <w:t>Fortalecimiento del ejercicio de prevención y control a la función pública en la Personería de Bogotá D.C.</w:t>
      </w:r>
    </w:p>
    <w:p w:rsidR="00743DA6" w:rsidRDefault="00D95D19">
      <w:pPr>
        <w:spacing w:before="240" w:after="240"/>
        <w:jc w:val="both"/>
        <w:rPr>
          <w:sz w:val="21"/>
          <w:szCs w:val="21"/>
          <w:highlight w:val="white"/>
        </w:rPr>
      </w:pPr>
      <w:r>
        <w:rPr>
          <w:sz w:val="21"/>
          <w:szCs w:val="21"/>
          <w:highlight w:val="white"/>
        </w:rPr>
        <w:t xml:space="preserve">En el proyecto </w:t>
      </w:r>
      <w:r>
        <w:rPr>
          <w:i/>
          <w:iCs/>
          <w:sz w:val="21"/>
          <w:szCs w:val="21"/>
          <w:highlight w:val="white"/>
        </w:rPr>
        <w:t>“Fortalecimiento del ejercicio de prevención y control a la función pública”</w:t>
      </w:r>
      <w:r>
        <w:rPr>
          <w:sz w:val="21"/>
          <w:szCs w:val="21"/>
          <w:highlight w:val="white"/>
        </w:rPr>
        <w:t xml:space="preserve"> de la Personería de Bogotá se advierte una reducción importante para 2026, al pasar de $1.680,16 millones a $1.468 millones, lo que equivale a una caída de –$212,16 millones, reflejando un debilitamiento directo de la capacidad preventiva de la entidad. Las actividades más críticas del control preventivo, los ejercicios sobre entidades del nivel central y local sufren recortes significativos de –$214,29 millones y –$178,29 millones respectivamente, disminución que reduce la presencia institucional en el seguimiento a políticas, trámites, servicios públicos, ejecución presupuestal y funcionamiento administrativo. No obstante, hay aumentos relevantes en herramientas de análisis preventivo, la elaboración de informes públicos (+$32,75 millones), la creación de una unidad de análisis de datos (+$34,64 millones), el desarrollo de tableros sectoriales (+$88,61 millones) y el fortalecimiento del plan de participación institucional (+$25,98 millones), lo que demuestra un intento de modernización analítica y ampliación de canales de interacción con la ciudadanía.</w:t>
      </w:r>
    </w:p>
    <w:p w:rsidR="00743DA6" w:rsidRDefault="00D95D19">
      <w:pPr>
        <w:spacing w:before="240" w:after="240"/>
        <w:jc w:val="both"/>
        <w:rPr>
          <w:b/>
          <w:bCs/>
          <w:sz w:val="21"/>
          <w:szCs w:val="21"/>
          <w:highlight w:val="white"/>
        </w:rPr>
      </w:pPr>
      <w:r>
        <w:rPr>
          <w:sz w:val="21"/>
          <w:szCs w:val="21"/>
          <w:highlight w:val="white"/>
        </w:rPr>
        <w:t xml:space="preserve">Estos cambios generan tensiones claras, mientras el Distrito incrementa la complejidad de su gestión y el Plan de Desarrollo </w:t>
      </w:r>
      <w:r>
        <w:rPr>
          <w:i/>
          <w:iCs/>
          <w:sz w:val="21"/>
          <w:szCs w:val="21"/>
          <w:highlight w:val="white"/>
        </w:rPr>
        <w:t>“Bogotá Camina Segura”</w:t>
      </w:r>
      <w:r>
        <w:rPr>
          <w:sz w:val="21"/>
          <w:szCs w:val="21"/>
          <w:highlight w:val="white"/>
        </w:rPr>
        <w:t xml:space="preserve"> exige un control preventivo más cercano, territorial y participativo, el proyecto reduce precisamente los recursos destinados a la vigilancia directa de la función pública en entidades locales y del nivel central. Esto afecta la interacción con organizaciones comunales, sociales y comunitarias, que dependen de la Personería para ejercer control ciudadano incidente y para acceder a espacios de seguimiento, corrección y resolución de problemas públicos. Si bien los incrementos en analítica de datos y participación institucional fortalecen herramientas estratégicas, estos avances resultan insuficientes si no se garantiza la presencia preventiva en territorio y la capacidad de respuesta frente a alertas ciudadanas. En este sentido, los recortes comprometen la gobernanza democrática que el propio proyecto declara como objetivo central.</w:t>
      </w:r>
    </w:p>
    <w:p w:rsidR="00743DA6" w:rsidRDefault="00D95D19">
      <w:pPr>
        <w:spacing w:before="240" w:after="240"/>
        <w:jc w:val="both"/>
        <w:rPr>
          <w:b/>
          <w:bCs/>
          <w:sz w:val="21"/>
          <w:szCs w:val="21"/>
          <w:highlight w:val="white"/>
        </w:rPr>
      </w:pPr>
      <w:r>
        <w:rPr>
          <w:b/>
          <w:bCs/>
          <w:sz w:val="21"/>
          <w:szCs w:val="21"/>
          <w:highlight w:val="white"/>
        </w:rPr>
        <w:t>Fortalecimiento del ejercicio de protección de los derechos humanos y el derecho internacional humanitario en la Personería de Bogotá D.C.</w:t>
      </w:r>
    </w:p>
    <w:p w:rsidR="00743DA6" w:rsidRDefault="00D95D19">
      <w:pPr>
        <w:spacing w:before="240" w:after="240"/>
        <w:jc w:val="both"/>
        <w:rPr>
          <w:sz w:val="21"/>
          <w:szCs w:val="21"/>
          <w:highlight w:val="white"/>
        </w:rPr>
      </w:pPr>
      <w:r>
        <w:rPr>
          <w:sz w:val="21"/>
          <w:szCs w:val="21"/>
          <w:highlight w:val="white"/>
        </w:rPr>
        <w:t xml:space="preserve">Con relación al proyecto </w:t>
      </w:r>
      <w:r>
        <w:rPr>
          <w:i/>
          <w:iCs/>
          <w:sz w:val="21"/>
          <w:szCs w:val="21"/>
          <w:highlight w:val="white"/>
        </w:rPr>
        <w:t>“Fortalecimiento del ejercicio de protección de los derechos humanos y el derecho internacional humanitario”</w:t>
      </w:r>
      <w:r>
        <w:rPr>
          <w:sz w:val="21"/>
          <w:szCs w:val="21"/>
          <w:highlight w:val="white"/>
        </w:rPr>
        <w:t xml:space="preserve"> presenta para 2026 una disminución de –$53,74 millones, al pasar de $1.543,11 millones a $1.489,38 millones, en un contexto distrital que exige mayor intervención institucional ante vulneraciones de derechos, conflictividades urbanas, problemáticas sociales crecientes y necesidades de atención diferencial. Aunque algunas actividades muestran incrementos relevantes como los </w:t>
      </w:r>
      <w:r>
        <w:rPr>
          <w:i/>
          <w:iCs/>
          <w:sz w:val="21"/>
          <w:szCs w:val="21"/>
          <w:highlight w:val="white"/>
        </w:rPr>
        <w:t>monitoreos y verificaciones a escenarios de posible vulneración de derechos</w:t>
      </w:r>
      <w:r>
        <w:rPr>
          <w:sz w:val="21"/>
          <w:szCs w:val="21"/>
          <w:highlight w:val="white"/>
        </w:rPr>
        <w:t xml:space="preserve"> (+$172,28 millones), las </w:t>
      </w:r>
      <w:r>
        <w:rPr>
          <w:i/>
          <w:iCs/>
          <w:sz w:val="21"/>
          <w:szCs w:val="21"/>
          <w:highlight w:val="white"/>
        </w:rPr>
        <w:t>intervenciones policivas</w:t>
      </w:r>
      <w:r>
        <w:rPr>
          <w:sz w:val="21"/>
          <w:szCs w:val="21"/>
          <w:highlight w:val="white"/>
        </w:rPr>
        <w:t xml:space="preserve"> (+$36,98 millones), las </w:t>
      </w:r>
      <w:r>
        <w:rPr>
          <w:i/>
          <w:iCs/>
          <w:sz w:val="21"/>
          <w:szCs w:val="21"/>
          <w:highlight w:val="white"/>
        </w:rPr>
        <w:t>capacitaciones en DD. HH.</w:t>
      </w:r>
      <w:r>
        <w:rPr>
          <w:sz w:val="21"/>
          <w:szCs w:val="21"/>
          <w:highlight w:val="white"/>
        </w:rPr>
        <w:t xml:space="preserve"> (+$25,98 millones) y las </w:t>
      </w:r>
      <w:r>
        <w:rPr>
          <w:i/>
          <w:iCs/>
          <w:sz w:val="21"/>
          <w:szCs w:val="21"/>
          <w:highlight w:val="white"/>
        </w:rPr>
        <w:t>actividades de asistencia a la ciudadanía</w:t>
      </w:r>
      <w:r>
        <w:rPr>
          <w:sz w:val="21"/>
          <w:szCs w:val="21"/>
          <w:highlight w:val="white"/>
        </w:rPr>
        <w:t>, el recorte impacta de manera significativa la gestión masiva de peticiones (-$152,39 millones), la orientación directa a población vulnerable (-$55,32 millones), la atención en derechos humanos (-$65,52 millones) y los procesos de acercamiento territorial (-$8,72 millones). Este comportamiento presupuestal reduce la capacidad de reacción del Ministerio Público en los barrios, en inspecciones de policía y en los escenarios donde más se vulneran los derechos de niños, mujeres, personas migrantes y poblaciones especiales.</w:t>
      </w:r>
    </w:p>
    <w:p w:rsidR="00743DA6" w:rsidRDefault="00D95D19">
      <w:pPr>
        <w:spacing w:before="240" w:after="240"/>
        <w:jc w:val="both"/>
        <w:rPr>
          <w:b/>
          <w:bCs/>
          <w:sz w:val="21"/>
          <w:szCs w:val="21"/>
          <w:highlight w:val="white"/>
        </w:rPr>
      </w:pPr>
      <w:r>
        <w:rPr>
          <w:sz w:val="21"/>
          <w:szCs w:val="21"/>
          <w:highlight w:val="white"/>
        </w:rPr>
        <w:t>Esta reducción presupuestal plantea un riesgo directo frente a los compromisos de Bogotá con los estándares nacionales e internacionales de protección de derechos humanos y cumplimiento del Derecho Internacional Humanitario. El POAI y el Libro Cero insisten en la necesidad de fortalecer la atención, orientación y acompañamiento en contextos de conflicto urbano, convivencia, seguridad ciudadana y atención a víctimas; sin embargo, el recorte disminuye la capacidad de la Personería para cumplir su mandato constitucional de garantizar los derechos de más de 7,9 millones de habitantes. Aunque se fortalecen líneas estratégicas como los monitoreos al uso de la fuerza y la verificación de derechos frente a autoridades, estos avances podrían verse limitados ante la disminución en la atención directa a la ciudadanía, la gestión de peticiones y la participación en espacios de coordinación interinstitucional. En este marco, surge un cuestionamiento, ¿cómo puede la ciudad garantizar el respeto por los derechos humanos y el DIH si se reducen precisamente los recursos que permiten identificar, acompañar y prevenir vulneraciones en territorio? Esta tensión evidencia la necesidad de revisar el proyecto para asegurar que Bogotá mantenga un Ministerio Público fuerte, territorial y técnicamente robusto frente a los desafíos actuales.</w:t>
      </w:r>
      <w:r>
        <w:rPr>
          <w:b/>
          <w:bCs/>
          <w:sz w:val="21"/>
          <w:szCs w:val="21"/>
          <w:highlight w:val="white"/>
        </w:rPr>
        <w:t xml:space="preserve"> </w:t>
      </w:r>
    </w:p>
    <w:p w:rsidR="00743DA6" w:rsidRDefault="00D95D19">
      <w:pPr>
        <w:spacing w:before="240" w:after="240"/>
        <w:jc w:val="both"/>
        <w:rPr>
          <w:b/>
          <w:bCs/>
          <w:sz w:val="21"/>
          <w:szCs w:val="21"/>
          <w:highlight w:val="white"/>
        </w:rPr>
      </w:pPr>
      <w:r>
        <w:rPr>
          <w:b/>
          <w:bCs/>
          <w:sz w:val="21"/>
          <w:szCs w:val="21"/>
          <w:highlight w:val="white"/>
        </w:rPr>
        <w:t>Implementación del Control Fiscal Digital al Servicio del ciudadano Bogotá D.C.</w:t>
      </w:r>
    </w:p>
    <w:p w:rsidR="00743DA6" w:rsidRDefault="00D95D19">
      <w:pPr>
        <w:spacing w:before="240" w:after="240"/>
        <w:jc w:val="both"/>
        <w:rPr>
          <w:sz w:val="21"/>
          <w:szCs w:val="21"/>
          <w:highlight w:val="white"/>
        </w:rPr>
      </w:pPr>
      <w:r>
        <w:rPr>
          <w:sz w:val="21"/>
          <w:szCs w:val="21"/>
          <w:highlight w:val="white"/>
        </w:rPr>
        <w:t xml:space="preserve">El proyecto </w:t>
      </w:r>
      <w:r>
        <w:rPr>
          <w:i/>
          <w:iCs/>
          <w:sz w:val="21"/>
          <w:szCs w:val="21"/>
          <w:highlight w:val="white"/>
        </w:rPr>
        <w:t>“Implementación del Control Fiscal Digital”</w:t>
      </w:r>
      <w:r>
        <w:rPr>
          <w:sz w:val="21"/>
          <w:szCs w:val="21"/>
          <w:highlight w:val="white"/>
        </w:rPr>
        <w:t xml:space="preserve"> presenta para 2026 la reducción más drástica de todo el portafolio de inversión de la Contraloría Distrital pasa de $13.822 millones en 2025 a solo $5.594,32 millones en 2026, es decir, una disminución de –$8.227,78 millones, equivalente a un recorte superior al 59%, precisamente en la línea estratégica que permite modernizar el control fiscal y acercarlo al ciudadano. La actividad más crítica, el </w:t>
      </w:r>
      <w:r>
        <w:rPr>
          <w:i/>
          <w:iCs/>
          <w:sz w:val="21"/>
          <w:szCs w:val="21"/>
          <w:highlight w:val="white"/>
        </w:rPr>
        <w:t>Sistema de Gestión Documental y Expediente Digital</w:t>
      </w:r>
      <w:r>
        <w:rPr>
          <w:sz w:val="21"/>
          <w:szCs w:val="21"/>
          <w:highlight w:val="white"/>
        </w:rPr>
        <w:t xml:space="preserve">, cae de $13.612,93 millones a $3.400 millones (reducción de –$10.212,93 millones), debilitando la trazabilidad documental, la gestión probatoria y la interoperabilidad institucional. Si bien la actividad asociada a </w:t>
      </w:r>
      <w:r>
        <w:rPr>
          <w:i/>
          <w:iCs/>
          <w:sz w:val="21"/>
          <w:szCs w:val="21"/>
          <w:highlight w:val="white"/>
        </w:rPr>
        <w:t>infraestructura tecnológica híbrida</w:t>
      </w:r>
      <w:r>
        <w:rPr>
          <w:sz w:val="21"/>
          <w:szCs w:val="21"/>
          <w:highlight w:val="white"/>
        </w:rPr>
        <w:t xml:space="preserve"> aumenta (+$1.985 millones), este incremento puntual no compensa la pérdida general del proyecto, y resulta insuficiente para soportar la arquitectura digital necesaria para el control fiscal moderno. Este recorte se produce pese al crecimiento del universo de inversión distrital, al aumento de riesgos contractuales y a la demanda ciudadana por vigilancia digital, lo que evidencia una incongruencia entre la complejidad fiscal del Distrito y la capacidad tecnológica asignada para vigilarlo.</w:t>
      </w:r>
    </w:p>
    <w:p w:rsidR="00743DA6" w:rsidRDefault="00D95D19">
      <w:pPr>
        <w:spacing w:before="240" w:after="240"/>
        <w:jc w:val="both"/>
        <w:rPr>
          <w:sz w:val="21"/>
          <w:szCs w:val="21"/>
          <w:highlight w:val="white"/>
        </w:rPr>
      </w:pPr>
      <w:r>
        <w:rPr>
          <w:sz w:val="21"/>
          <w:szCs w:val="21"/>
          <w:highlight w:val="white"/>
        </w:rPr>
        <w:t>Desde el punto de vista técnico, Bogotá enfrenta un incremento en la complejidad macroeconómica y operativa, crecimiento del 8,2% en ingresos fiscales, mayor exigencia normativa, expansión en proyectos de alto impacto y un ecosistema contractual que supera los $40 billones, claramente la ciudad requiere un Control Fiscal Digital, apoyado en análisis predictivo, Big Data, IA generativa, trazabilidad documental, monitoreo en tiempo real y participación ciudadana verificable. Para ello se estima un costo base cercano a $4.000 millones adicionales para garantizar soberanía tecnológica y evitar dependencia de plataformas fragmentadas. En este contexto, el recorte de –$8.227 millones no solo debilita el control fiscal, contradice el diagnóstico técnico, el POAI, el Libro Cero y la propia política de fortalecimiento institucional del distrito. Por ello, se justifica plenamente solicitar un aumento presupuestal que permita alcanzar el estándar mínimo de infraestructura digital requerido para auditorías inteligentes, interoperabilidad documental y trazabilidad fiscal, asegurando una Contraloría acorde al tamaño y riesgo del presupuesto de Bogotá.</w:t>
      </w:r>
    </w:p>
    <w:p w:rsidR="00743DA6" w:rsidRDefault="00D95D19">
      <w:pPr>
        <w:spacing w:before="240" w:after="240"/>
        <w:jc w:val="both"/>
        <w:rPr>
          <w:b/>
          <w:bCs/>
          <w:sz w:val="21"/>
          <w:szCs w:val="21"/>
          <w:highlight w:val="white"/>
        </w:rPr>
      </w:pPr>
      <w:r>
        <w:rPr>
          <w:b/>
          <w:bCs/>
          <w:sz w:val="21"/>
          <w:szCs w:val="21"/>
          <w:highlight w:val="white"/>
        </w:rPr>
        <w:t>Conclusión</w:t>
      </w:r>
    </w:p>
    <w:p w:rsidR="00743DA6" w:rsidRDefault="00D95D19">
      <w:pPr>
        <w:spacing w:before="240" w:after="240"/>
        <w:jc w:val="both"/>
        <w:rPr>
          <w:sz w:val="21"/>
          <w:szCs w:val="21"/>
          <w:highlight w:val="white"/>
        </w:rPr>
      </w:pPr>
      <w:r>
        <w:rPr>
          <w:sz w:val="21"/>
          <w:szCs w:val="21"/>
          <w:highlight w:val="white"/>
        </w:rPr>
        <w:t>Desde una perspectiva técnica, el análisis global de los entes de control del Distrito evidencia que la arquitectura presupuestal 2026 no es coherente con la magnitud del riesgo fiscal, social y administrativo que enfrenta Bogotá. La Contraloría presenta reducciones críticas en proyectos esenciales, control fiscal digital (–$8.227 millones), expediente digital (–$10.212 millones), fortalecimiento TI (–$163 millones) y apoyo al PAD (–$460 millones), lo que debilita directamente la capacidad de auditoría, trazabilidad documental y vigilancia preventiva. La Personería, por su parte, muestra disminuciones en la gestión disciplinaria, en el control preventivo territorial y en la atención masiva de derechos humanos, pese a incrementos parciales en analítica de datos, participación ciudadana y actividades sectoriales. La Veeduría registra comportamientos mixtos, avances en innovación pública y tecnologías preventivas, pero con recortes en componentes específicos y ausencia de robustecimiento proporcional a la expansión del gasto distrital. En conjunto, el presupuesto 2026 revela un fortalecimiento incompleto, incapaz de acompañar un Distrito que supera los $40 billones, crece en complejidad contractual y enfrenta tensiones en gobernabilidad, seguridad ciudadana, conflictividad administrativa y riesgos de corrupción.</w:t>
      </w:r>
    </w:p>
    <w:p w:rsidR="00743DA6" w:rsidRDefault="00D95D19">
      <w:pPr>
        <w:spacing w:before="240" w:after="240"/>
        <w:jc w:val="both"/>
        <w:rPr>
          <w:sz w:val="21"/>
          <w:szCs w:val="21"/>
          <w:highlight w:val="white"/>
        </w:rPr>
      </w:pPr>
      <w:r>
        <w:rPr>
          <w:sz w:val="21"/>
          <w:szCs w:val="21"/>
          <w:highlight w:val="white"/>
        </w:rPr>
        <w:t>Mientras el Plan de Desarrollo exige más control social, mayor vigilancia sobre obras públicas, atención a la ciudadanía, seguimiento disciplinario y monitoreo a derechos humanos, el presupuesto no refleja esa prioridad. Los entes de control muestran avances importantes, nuevos sistemas de innovación, unidades de análisis de datos, fortalecimiento metodológico y participación, pero estos esfuerzos no compensan las reducciones en actividades misionales de mayor impacto como auditorías, presencia territorial, atención en DD. HH., gestión disciplinaria y control preventivo. La conclusión es clara, la capacidad de vigilancia del Distrito está siendo sobre exigida, pero subfinanciada, y este desequilibrio compromete no solo la eficiencia institucional, sino la confianza ciudadana, la estabilidad democrática y la integridad de la gestión pública. Se hace necesario reorientar y reforzar el presupuesto 2026, especialmente en infraestructura tecnológica, control fiscal digital, atención en derechos humanos y acción preventiva en territorio, para garantizar un sistema de control robusto, moderno y a la altura de los desafíos de Bogotá.</w:t>
      </w:r>
    </w:p>
    <w:p w:rsidR="00743DA6" w:rsidRDefault="00743DA6">
      <w:pPr>
        <w:jc w:val="both"/>
        <w:rPr>
          <w:b/>
          <w:bCs/>
          <w:sz w:val="21"/>
          <w:szCs w:val="21"/>
        </w:rPr>
      </w:pPr>
    </w:p>
    <w:p w:rsidR="00743DA6" w:rsidRDefault="00D95D19">
      <w:pPr>
        <w:jc w:val="both"/>
        <w:rPr>
          <w:b/>
          <w:bCs/>
          <w:sz w:val="21"/>
          <w:szCs w:val="21"/>
        </w:rPr>
      </w:pPr>
      <w:r>
        <w:rPr>
          <w:b/>
          <w:bCs/>
          <w:sz w:val="21"/>
          <w:szCs w:val="21"/>
        </w:rPr>
        <w:t>MARCO LEGAL Y JURÍDICO</w:t>
      </w:r>
    </w:p>
    <w:p w:rsidR="00743DA6" w:rsidRDefault="00743DA6">
      <w:pPr>
        <w:pBdr>
          <w:top w:val="nil"/>
          <w:left w:val="nil"/>
          <w:bottom w:val="nil"/>
          <w:right w:val="nil"/>
          <w:between w:val="nil"/>
        </w:pBdr>
        <w:jc w:val="both"/>
        <w:rPr>
          <w:b/>
          <w:bCs/>
          <w:sz w:val="21"/>
          <w:szCs w:val="21"/>
        </w:rPr>
      </w:pPr>
    </w:p>
    <w:p w:rsidR="00743DA6" w:rsidRDefault="00D95D19">
      <w:pPr>
        <w:pBdr>
          <w:top w:val="nil"/>
          <w:left w:val="nil"/>
          <w:bottom w:val="nil"/>
          <w:right w:val="nil"/>
          <w:between w:val="nil"/>
        </w:pBdr>
        <w:jc w:val="both"/>
        <w:rPr>
          <w:b/>
          <w:bCs/>
          <w:color w:val="000000"/>
          <w:sz w:val="22"/>
          <w:szCs w:val="22"/>
        </w:rPr>
      </w:pPr>
      <w:r>
        <w:rPr>
          <w:b/>
          <w:bCs/>
          <w:color w:val="000000"/>
          <w:sz w:val="22"/>
          <w:szCs w:val="22"/>
        </w:rPr>
        <w:t>DE ORDEN CONSTITUCIONAL</w:t>
      </w:r>
    </w:p>
    <w:p w:rsidR="00743DA6" w:rsidRDefault="00743DA6">
      <w:pPr>
        <w:pBdr>
          <w:top w:val="nil"/>
          <w:left w:val="nil"/>
          <w:bottom w:val="nil"/>
          <w:right w:val="nil"/>
          <w:between w:val="nil"/>
        </w:pBdr>
        <w:jc w:val="both"/>
        <w:rPr>
          <w:b/>
          <w:bCs/>
          <w:sz w:val="22"/>
          <w:szCs w:val="22"/>
        </w:rPr>
      </w:pPr>
    </w:p>
    <w:p w:rsidR="00743DA6" w:rsidRDefault="00D95D19">
      <w:pPr>
        <w:pBdr>
          <w:top w:val="nil"/>
          <w:left w:val="nil"/>
          <w:bottom w:val="nil"/>
          <w:right w:val="nil"/>
          <w:between w:val="nil"/>
        </w:pBdr>
        <w:jc w:val="both"/>
        <w:rPr>
          <w:color w:val="000000"/>
          <w:sz w:val="22"/>
          <w:szCs w:val="22"/>
        </w:rPr>
      </w:pPr>
      <w:r>
        <w:rPr>
          <w:b/>
          <w:bCs/>
          <w:color w:val="000000"/>
          <w:sz w:val="22"/>
          <w:szCs w:val="22"/>
        </w:rPr>
        <w:t xml:space="preserve">Artículo 346. </w:t>
      </w:r>
      <w:r>
        <w:rPr>
          <w:color w:val="000000"/>
          <w:sz w:val="22"/>
          <w:szCs w:val="22"/>
        </w:rPr>
        <w:t>El Gobierno formulará anualmente el presupuesto de rentas y ley de apropiaciones, que será presentado al Congreso dentro de los primeros diez días de cada legislatura.</w:t>
      </w:r>
    </w:p>
    <w:p w:rsidR="00743DA6" w:rsidRDefault="00D95D19">
      <w:pPr>
        <w:pBdr>
          <w:top w:val="nil"/>
          <w:left w:val="nil"/>
          <w:bottom w:val="nil"/>
          <w:right w:val="nil"/>
          <w:between w:val="nil"/>
        </w:pBdr>
        <w:jc w:val="both"/>
        <w:rPr>
          <w:color w:val="000000"/>
          <w:sz w:val="22"/>
          <w:szCs w:val="22"/>
        </w:rPr>
      </w:pPr>
      <w:r>
        <w:rPr>
          <w:color w:val="000000"/>
          <w:sz w:val="22"/>
          <w:szCs w:val="22"/>
        </w:rPr>
        <w:t>El presupuesto de rentas y ley de apropiaciones deberá elaborarse, presentarse y aprobarse dentro de un marco de sostenibilidad fiscal y corresponder al Plan Nacional de Desarrollo. En la Ley de Apropiaciones no podrá incluirse partida alguna que no corresponda a un crédito judicialmente reconocido, o a un gasto decretado conforme a ley anterior, o a uno propuesto por el Gobierno para atender debidamente el funcionamiento de las ramas del poder público, o al servicio de la deuda, o destinado a dar cumplimiento al Plan Nacional de Desarrollo.</w:t>
      </w:r>
    </w:p>
    <w:p w:rsidR="00743DA6" w:rsidRDefault="00D95D19">
      <w:pPr>
        <w:pBdr>
          <w:top w:val="nil"/>
          <w:left w:val="nil"/>
          <w:bottom w:val="nil"/>
          <w:right w:val="nil"/>
          <w:between w:val="nil"/>
        </w:pBdr>
        <w:jc w:val="both"/>
        <w:rPr>
          <w:b/>
          <w:bCs/>
          <w:color w:val="000000"/>
          <w:sz w:val="22"/>
          <w:szCs w:val="22"/>
        </w:rPr>
      </w:pPr>
      <w:r>
        <w:rPr>
          <w:color w:val="000000"/>
          <w:sz w:val="22"/>
          <w:szCs w:val="22"/>
        </w:rPr>
        <w:t>Las comisiones de asuntos económicos de las dos cámaras deliberarán en forma conjunta para dar primer debate al proyecto de Presupuesto de Rentas y Ley de Apropiaciones.</w:t>
      </w:r>
    </w:p>
    <w:p w:rsidR="00743DA6" w:rsidRDefault="00D95D19">
      <w:pPr>
        <w:pBdr>
          <w:top w:val="nil"/>
          <w:left w:val="nil"/>
          <w:bottom w:val="nil"/>
          <w:right w:val="nil"/>
          <w:between w:val="nil"/>
        </w:pBdr>
        <w:jc w:val="both"/>
        <w:rPr>
          <w:color w:val="000000"/>
          <w:sz w:val="22"/>
          <w:szCs w:val="22"/>
        </w:rPr>
      </w:pPr>
      <w:r>
        <w:rPr>
          <w:b/>
          <w:bCs/>
          <w:sz w:val="22"/>
          <w:szCs w:val="22"/>
        </w:rPr>
        <w:t>ARTÍCULO</w:t>
      </w:r>
      <w:r>
        <w:rPr>
          <w:b/>
          <w:bCs/>
          <w:color w:val="000000"/>
          <w:sz w:val="22"/>
          <w:szCs w:val="22"/>
        </w:rPr>
        <w:t xml:space="preserve">  347. </w:t>
      </w:r>
      <w:r>
        <w:rPr>
          <w:color w:val="000000"/>
          <w:sz w:val="22"/>
          <w:szCs w:val="22"/>
        </w:rPr>
        <w:t>El proyecto de ley de apropiaciones deberá contener la totalidad de los gastos que el Estado pretenda realizar durante la vigencia fiscal respectiva. Si los ingresos legalmente autorizados no fueren suficientes para atender los gastos proyectados, el Gobierno propondrá, por separado, ante las mismas comisiones que estudian el proyecto de ley del presupuesto, la creación de nuevas rentas o la modificación de las existentes para financiar el monto de gastos contemplados.</w:t>
      </w:r>
    </w:p>
    <w:p w:rsidR="00743DA6" w:rsidRDefault="00D95D19">
      <w:pPr>
        <w:pBdr>
          <w:top w:val="nil"/>
          <w:left w:val="nil"/>
          <w:bottom w:val="nil"/>
          <w:right w:val="nil"/>
          <w:between w:val="nil"/>
        </w:pBdr>
        <w:jc w:val="both"/>
        <w:rPr>
          <w:color w:val="000000"/>
          <w:sz w:val="22"/>
          <w:szCs w:val="22"/>
        </w:rPr>
      </w:pPr>
      <w:r>
        <w:rPr>
          <w:color w:val="000000"/>
          <w:sz w:val="22"/>
          <w:szCs w:val="22"/>
        </w:rPr>
        <w:t>El presupuesto podrá aprobarse sin que se hubiere perfeccionado el proyecto de ley referente a los recursos adicionales, cuyo trámite podrá continuar su curso en el período legislativo siguiente.</w:t>
      </w:r>
    </w:p>
    <w:p w:rsidR="00743DA6" w:rsidRDefault="00D95D19">
      <w:pPr>
        <w:pBdr>
          <w:top w:val="nil"/>
          <w:left w:val="nil"/>
          <w:bottom w:val="nil"/>
          <w:right w:val="nil"/>
          <w:between w:val="nil"/>
        </w:pBdr>
        <w:jc w:val="both"/>
        <w:rPr>
          <w:color w:val="000000"/>
          <w:sz w:val="22"/>
          <w:szCs w:val="22"/>
        </w:rPr>
      </w:pPr>
      <w:r>
        <w:rPr>
          <w:b/>
          <w:bCs/>
          <w:color w:val="000000"/>
          <w:sz w:val="22"/>
          <w:szCs w:val="22"/>
        </w:rPr>
        <w:t>ARTICULO 348. </w:t>
      </w:r>
      <w:r>
        <w:rPr>
          <w:color w:val="000000"/>
          <w:sz w:val="22"/>
          <w:szCs w:val="22"/>
        </w:rPr>
        <w:t>Si el Congreso no expidiere el presupuesto, regirá el presentado por el Gobierno dentro de los términos del artículo precedente; si el presupuesto no hubiere sido presentado dentro de dicho plazo, regirá el del año anterior, pero el Gobierno podrá reducir gastos, y, en consecuencia, suprimir o refundir empleos, cuando así lo aconsejen los cálculos de rentas del nuevo ejercicio.</w:t>
      </w:r>
    </w:p>
    <w:p w:rsidR="00743DA6" w:rsidRDefault="00D95D19">
      <w:pPr>
        <w:pBdr>
          <w:top w:val="nil"/>
          <w:left w:val="nil"/>
          <w:bottom w:val="nil"/>
          <w:right w:val="nil"/>
          <w:between w:val="nil"/>
        </w:pBdr>
        <w:jc w:val="both"/>
        <w:rPr>
          <w:color w:val="000000"/>
          <w:sz w:val="22"/>
          <w:szCs w:val="22"/>
        </w:rPr>
      </w:pPr>
      <w:r>
        <w:rPr>
          <w:b/>
          <w:bCs/>
          <w:sz w:val="22"/>
          <w:szCs w:val="22"/>
        </w:rPr>
        <w:t>ARTÍCULO</w:t>
      </w:r>
      <w:r>
        <w:rPr>
          <w:b/>
          <w:bCs/>
          <w:color w:val="000000"/>
          <w:sz w:val="22"/>
          <w:szCs w:val="22"/>
        </w:rPr>
        <w:t xml:space="preserve">  349.</w:t>
      </w:r>
      <w:r>
        <w:rPr>
          <w:color w:val="000000"/>
          <w:sz w:val="22"/>
          <w:szCs w:val="22"/>
        </w:rPr>
        <w:t xml:space="preserve"> Durante los tres primeros meses de cada legislatura, y estrictamente de acuerdo con las reglas de la Ley Orgánica, el Congreso discutirá y expedirá el Presupuesto General de Rentas y Ley de Apropiaciones.</w:t>
      </w:r>
    </w:p>
    <w:p w:rsidR="00743DA6" w:rsidRDefault="00D95D19">
      <w:pPr>
        <w:pBdr>
          <w:top w:val="nil"/>
          <w:left w:val="nil"/>
          <w:bottom w:val="nil"/>
          <w:right w:val="nil"/>
          <w:between w:val="nil"/>
        </w:pBdr>
        <w:jc w:val="both"/>
        <w:rPr>
          <w:color w:val="000000"/>
          <w:sz w:val="22"/>
          <w:szCs w:val="22"/>
        </w:rPr>
      </w:pPr>
      <w:r>
        <w:rPr>
          <w:color w:val="000000"/>
          <w:sz w:val="22"/>
          <w:szCs w:val="22"/>
        </w:rPr>
        <w:t>Los cómputos de las rentas, de los recursos del crédito y los provenientes del balance del Tesoro, no podrán aumentarse por el Congreso sino con el concepto previo y favorable suscrito por el ministro del ramo.</w:t>
      </w:r>
    </w:p>
    <w:p w:rsidR="00743DA6" w:rsidRDefault="00D95D19">
      <w:pPr>
        <w:pBdr>
          <w:top w:val="nil"/>
          <w:left w:val="nil"/>
          <w:bottom w:val="nil"/>
          <w:right w:val="nil"/>
          <w:between w:val="nil"/>
        </w:pBdr>
        <w:jc w:val="both"/>
        <w:rPr>
          <w:color w:val="000000"/>
          <w:sz w:val="22"/>
          <w:szCs w:val="22"/>
        </w:rPr>
      </w:pPr>
      <w:r>
        <w:rPr>
          <w:b/>
          <w:bCs/>
          <w:sz w:val="22"/>
          <w:szCs w:val="22"/>
        </w:rPr>
        <w:t>ARTÍCULO</w:t>
      </w:r>
      <w:r>
        <w:rPr>
          <w:b/>
          <w:bCs/>
          <w:color w:val="000000"/>
          <w:sz w:val="22"/>
          <w:szCs w:val="22"/>
        </w:rPr>
        <w:t xml:space="preserve">  350.</w:t>
      </w:r>
      <w:r>
        <w:rPr>
          <w:color w:val="000000"/>
          <w:sz w:val="22"/>
          <w:szCs w:val="22"/>
        </w:rPr>
        <w:t xml:space="preserve"> La ley de apropiaciones deberá tener un componente denominado gasto público social que agrupará las partidas de tal naturaleza, según definición hecha por la ley orgánica respectiva. Excepto en los casos de guerra exterior o por razones de seguridad nacional, el gasto público social tendrá prioridad sobre cualquier otra asignación.</w:t>
      </w:r>
    </w:p>
    <w:p w:rsidR="00743DA6" w:rsidRDefault="00D95D19">
      <w:pPr>
        <w:pBdr>
          <w:top w:val="nil"/>
          <w:left w:val="nil"/>
          <w:bottom w:val="nil"/>
          <w:right w:val="nil"/>
          <w:between w:val="nil"/>
        </w:pBdr>
        <w:jc w:val="both"/>
        <w:rPr>
          <w:color w:val="000000"/>
          <w:sz w:val="22"/>
          <w:szCs w:val="22"/>
        </w:rPr>
      </w:pPr>
      <w:r>
        <w:rPr>
          <w:color w:val="000000"/>
          <w:sz w:val="22"/>
          <w:szCs w:val="22"/>
        </w:rPr>
        <w:t>En la distribución territorial del gasto público social se tendrá en cuenta el número de personas con necesidades básicas insatisfechas, la población, y la eficiencia fiscal y administrativa, según reglamentación que hará la ley.</w:t>
      </w:r>
    </w:p>
    <w:p w:rsidR="00743DA6" w:rsidRDefault="00D95D19">
      <w:pPr>
        <w:pBdr>
          <w:top w:val="nil"/>
          <w:left w:val="nil"/>
          <w:bottom w:val="nil"/>
          <w:right w:val="nil"/>
          <w:between w:val="nil"/>
        </w:pBdr>
        <w:jc w:val="both"/>
        <w:rPr>
          <w:color w:val="000000"/>
          <w:sz w:val="22"/>
          <w:szCs w:val="22"/>
        </w:rPr>
      </w:pPr>
      <w:r>
        <w:rPr>
          <w:color w:val="000000"/>
          <w:sz w:val="22"/>
          <w:szCs w:val="22"/>
        </w:rPr>
        <w:t>El presupuesto de inversión no se podrá disminuir porcentualmente con relación al año anterior respecto del gasto total de la correspondiente ley de apropiaciones.</w:t>
      </w:r>
    </w:p>
    <w:p w:rsidR="00743DA6" w:rsidRDefault="00D95D19">
      <w:pPr>
        <w:pBdr>
          <w:top w:val="nil"/>
          <w:left w:val="nil"/>
          <w:bottom w:val="nil"/>
          <w:right w:val="nil"/>
          <w:between w:val="nil"/>
        </w:pBdr>
        <w:jc w:val="both"/>
        <w:rPr>
          <w:color w:val="000000"/>
          <w:sz w:val="22"/>
          <w:szCs w:val="22"/>
        </w:rPr>
      </w:pPr>
      <w:r>
        <w:rPr>
          <w:b/>
          <w:bCs/>
          <w:sz w:val="22"/>
          <w:szCs w:val="22"/>
        </w:rPr>
        <w:t>ARTÍCULO</w:t>
      </w:r>
      <w:r>
        <w:rPr>
          <w:b/>
          <w:bCs/>
          <w:color w:val="000000"/>
          <w:sz w:val="22"/>
          <w:szCs w:val="22"/>
        </w:rPr>
        <w:t xml:space="preserve"> 351.</w:t>
      </w:r>
      <w:r>
        <w:rPr>
          <w:color w:val="000000"/>
          <w:sz w:val="22"/>
          <w:szCs w:val="22"/>
        </w:rPr>
        <w:t xml:space="preserve"> El Congreso no podrá aumentar ninguna de las partidas del presupuesto de gastos propuestas por el Gobierno, ni incluir una nueva, sino con la aceptación escrita del ministro del ramo.</w:t>
      </w:r>
    </w:p>
    <w:p w:rsidR="00743DA6" w:rsidRDefault="00D95D19">
      <w:pPr>
        <w:pBdr>
          <w:top w:val="nil"/>
          <w:left w:val="nil"/>
          <w:bottom w:val="nil"/>
          <w:right w:val="nil"/>
          <w:between w:val="nil"/>
        </w:pBdr>
        <w:jc w:val="both"/>
        <w:rPr>
          <w:color w:val="000000"/>
          <w:sz w:val="22"/>
          <w:szCs w:val="22"/>
        </w:rPr>
      </w:pPr>
      <w:r>
        <w:rPr>
          <w:color w:val="000000"/>
          <w:sz w:val="22"/>
          <w:szCs w:val="22"/>
        </w:rPr>
        <w:t>El Congreso podrá eliminar o reducir partidas de gastos propuestas por el Gobierno, con excepción de las que se necesitan para el servicio de la deuda pública, las demás obligaciones contractuales del Estado, la atención completa de los servicios ordinarios de la administración y las inversiones autorizadas en los planes y programas a que se refiere el artículo 341.</w:t>
      </w:r>
    </w:p>
    <w:p w:rsidR="00743DA6" w:rsidRDefault="00D95D19">
      <w:pPr>
        <w:pBdr>
          <w:top w:val="nil"/>
          <w:left w:val="nil"/>
          <w:bottom w:val="nil"/>
          <w:right w:val="nil"/>
          <w:between w:val="nil"/>
        </w:pBdr>
        <w:jc w:val="both"/>
        <w:rPr>
          <w:color w:val="000000"/>
          <w:sz w:val="22"/>
          <w:szCs w:val="22"/>
        </w:rPr>
      </w:pPr>
      <w:r>
        <w:rPr>
          <w:color w:val="000000"/>
          <w:sz w:val="22"/>
          <w:szCs w:val="22"/>
        </w:rPr>
        <w:t>Si se elevare el cálculo de las rentas, o si se eliminaren o disminuyeren algunas de las partidas del proyecto respectivo, las sumas así disponibles, sin exceder su cuantía, podrán aplicarse a otras inversiones o gastos autorizados conforme a lo prescrito en el inciso final del artículo 349 de la Constitución.</w:t>
      </w:r>
    </w:p>
    <w:p w:rsidR="00743DA6" w:rsidRDefault="00D95D19">
      <w:pPr>
        <w:pBdr>
          <w:top w:val="nil"/>
          <w:left w:val="nil"/>
          <w:bottom w:val="nil"/>
          <w:right w:val="nil"/>
          <w:between w:val="nil"/>
        </w:pBdr>
        <w:jc w:val="both"/>
        <w:rPr>
          <w:color w:val="000000"/>
          <w:sz w:val="22"/>
          <w:szCs w:val="22"/>
        </w:rPr>
      </w:pPr>
      <w:r>
        <w:rPr>
          <w:b/>
          <w:bCs/>
          <w:sz w:val="22"/>
          <w:szCs w:val="22"/>
        </w:rPr>
        <w:t>ARTÍCULO</w:t>
      </w:r>
      <w:r>
        <w:rPr>
          <w:b/>
          <w:bCs/>
          <w:color w:val="000000"/>
          <w:sz w:val="22"/>
          <w:szCs w:val="22"/>
        </w:rPr>
        <w:t xml:space="preserve">  352</w:t>
      </w:r>
      <w:r>
        <w:rPr>
          <w:color w:val="000000"/>
          <w:sz w:val="22"/>
          <w:szCs w:val="22"/>
        </w:rPr>
        <w:t>. Además de lo señalado en esta Constitución, la Ley Orgánica del Presupuesto regulará lo correspondiente a la programación, aprobación, modificación, ejecución de los presupuestos de la Nación, de las entidades territoriales y de los entes descentralizados de cualquier nivel administrativo, y su coordinación con el Plan Nacional de Desarrollo, así como también la capacidad de los organismos y entidades estatales para contratar.</w:t>
      </w:r>
    </w:p>
    <w:p w:rsidR="00743DA6" w:rsidRDefault="00D95D19">
      <w:pPr>
        <w:pBdr>
          <w:top w:val="nil"/>
          <w:left w:val="nil"/>
          <w:bottom w:val="nil"/>
          <w:right w:val="nil"/>
          <w:between w:val="nil"/>
        </w:pBdr>
        <w:jc w:val="both"/>
        <w:rPr>
          <w:color w:val="000000"/>
          <w:sz w:val="22"/>
          <w:szCs w:val="22"/>
        </w:rPr>
      </w:pPr>
      <w:r>
        <w:rPr>
          <w:b/>
          <w:bCs/>
          <w:sz w:val="22"/>
          <w:szCs w:val="22"/>
        </w:rPr>
        <w:t>ARTÍCULO</w:t>
      </w:r>
      <w:r>
        <w:rPr>
          <w:b/>
          <w:bCs/>
          <w:color w:val="000000"/>
          <w:sz w:val="22"/>
          <w:szCs w:val="22"/>
        </w:rPr>
        <w:t xml:space="preserve">  353.</w:t>
      </w:r>
      <w:r>
        <w:rPr>
          <w:color w:val="000000"/>
          <w:sz w:val="22"/>
          <w:szCs w:val="22"/>
        </w:rPr>
        <w:t xml:space="preserve"> Los principios y las disposiciones establecidos en este título se aplicarán, en lo que fuere pertinente, a las entidades territoriales, para la elaboración, aprobación y ejecución de su presupuesto.</w:t>
      </w:r>
    </w:p>
    <w:p w:rsidR="00743DA6" w:rsidRDefault="00D95D19">
      <w:pPr>
        <w:numPr>
          <w:ilvl w:val="0"/>
          <w:numId w:val="32"/>
        </w:numPr>
        <w:pBdr>
          <w:top w:val="nil"/>
          <w:left w:val="nil"/>
          <w:bottom w:val="nil"/>
          <w:right w:val="nil"/>
          <w:between w:val="nil"/>
        </w:pBdr>
        <w:jc w:val="both"/>
        <w:rPr>
          <w:b/>
          <w:bCs/>
          <w:color w:val="000000"/>
          <w:sz w:val="22"/>
          <w:szCs w:val="22"/>
        </w:rPr>
      </w:pPr>
      <w:r>
        <w:rPr>
          <w:b/>
          <w:bCs/>
          <w:color w:val="000000"/>
          <w:sz w:val="22"/>
          <w:szCs w:val="22"/>
        </w:rPr>
        <w:t>DE ORDEN LEGAL Y NORMATIVO NACIONAL</w:t>
      </w:r>
    </w:p>
    <w:p w:rsidR="00743DA6" w:rsidRDefault="00743DA6">
      <w:pPr>
        <w:jc w:val="both"/>
        <w:rPr>
          <w:b/>
          <w:bCs/>
          <w:sz w:val="22"/>
          <w:szCs w:val="22"/>
        </w:rPr>
      </w:pPr>
    </w:p>
    <w:p w:rsidR="00743DA6" w:rsidRDefault="00D95D19">
      <w:pPr>
        <w:jc w:val="both"/>
        <w:rPr>
          <w:sz w:val="22"/>
          <w:szCs w:val="22"/>
        </w:rPr>
      </w:pPr>
      <w:r>
        <w:rPr>
          <w:b/>
          <w:bCs/>
          <w:sz w:val="22"/>
          <w:szCs w:val="22"/>
        </w:rPr>
        <w:t xml:space="preserve">Decreto Ley 1421 de 1993 </w:t>
      </w:r>
      <w:r>
        <w:rPr>
          <w:sz w:val="22"/>
          <w:szCs w:val="22"/>
        </w:rPr>
        <w:t>“Por el cual se dicta el régimen especial para el Distrito Capital de Santafé de Bogotá”</w:t>
      </w:r>
    </w:p>
    <w:p w:rsidR="00743DA6" w:rsidRDefault="00743DA6">
      <w:pPr>
        <w:jc w:val="both"/>
        <w:rPr>
          <w:sz w:val="22"/>
          <w:szCs w:val="22"/>
        </w:rPr>
      </w:pPr>
    </w:p>
    <w:p w:rsidR="00743DA6" w:rsidRDefault="00D95D19">
      <w:pPr>
        <w:jc w:val="both"/>
        <w:rPr>
          <w:sz w:val="22"/>
          <w:szCs w:val="22"/>
        </w:rPr>
      </w:pPr>
      <w:r>
        <w:rPr>
          <w:b/>
          <w:bCs/>
          <w:sz w:val="22"/>
          <w:szCs w:val="22"/>
        </w:rPr>
        <w:t xml:space="preserve">Decreto 111 de 1996 </w:t>
      </w:r>
      <w:r>
        <w:rPr>
          <w:sz w:val="22"/>
          <w:szCs w:val="22"/>
        </w:rPr>
        <w:t>“Por el cual se compilan la Ley 38 de 1989, la Ley 179 de 1994 y la Ley 225 de 1995 que conforman el estatuto orgánico del presupuesto".</w:t>
      </w:r>
    </w:p>
    <w:p w:rsidR="00743DA6" w:rsidRDefault="00743DA6">
      <w:pPr>
        <w:jc w:val="both"/>
        <w:rPr>
          <w:b/>
          <w:bCs/>
          <w:sz w:val="22"/>
          <w:szCs w:val="22"/>
        </w:rPr>
      </w:pPr>
    </w:p>
    <w:p w:rsidR="00743DA6" w:rsidRDefault="00D95D19">
      <w:pPr>
        <w:jc w:val="both"/>
        <w:rPr>
          <w:sz w:val="22"/>
          <w:szCs w:val="22"/>
        </w:rPr>
      </w:pPr>
      <w:r>
        <w:rPr>
          <w:b/>
          <w:bCs/>
          <w:sz w:val="22"/>
          <w:szCs w:val="22"/>
        </w:rPr>
        <w:t>Ley 358 de 1997 “</w:t>
      </w:r>
      <w:r>
        <w:rPr>
          <w:sz w:val="22"/>
          <w:szCs w:val="22"/>
        </w:rPr>
        <w:t>por la cual se reglamenta el artículo 364 de la Constitución y se dictan otras disposiciones en materia de endeudamiento”</w:t>
      </w:r>
    </w:p>
    <w:p w:rsidR="00743DA6" w:rsidRDefault="00743DA6">
      <w:pPr>
        <w:jc w:val="both"/>
        <w:rPr>
          <w:sz w:val="22"/>
          <w:szCs w:val="22"/>
        </w:rPr>
      </w:pPr>
    </w:p>
    <w:p w:rsidR="00743DA6" w:rsidRDefault="00D95D19">
      <w:pPr>
        <w:jc w:val="both"/>
        <w:rPr>
          <w:sz w:val="22"/>
          <w:szCs w:val="22"/>
        </w:rPr>
      </w:pPr>
      <w:r>
        <w:rPr>
          <w:b/>
          <w:bCs/>
          <w:sz w:val="22"/>
          <w:szCs w:val="22"/>
        </w:rPr>
        <w:t xml:space="preserve">Decreto 1068 de 2015 Sector Hacienda y Crédito Público. </w:t>
      </w:r>
      <w:r>
        <w:rPr>
          <w:sz w:val="22"/>
          <w:szCs w:val="22"/>
        </w:rPr>
        <w:t>“Por medio del cual se expide el Decreto Único Reglamentario del Sector Hacienda y Crédito Público”</w:t>
      </w:r>
    </w:p>
    <w:p w:rsidR="00743DA6" w:rsidRDefault="00743DA6">
      <w:pPr>
        <w:jc w:val="both"/>
        <w:rPr>
          <w:sz w:val="22"/>
          <w:szCs w:val="22"/>
        </w:rPr>
      </w:pPr>
    </w:p>
    <w:p w:rsidR="00743DA6" w:rsidRDefault="00D95D19">
      <w:pPr>
        <w:jc w:val="both"/>
        <w:rPr>
          <w:sz w:val="22"/>
          <w:szCs w:val="22"/>
        </w:rPr>
      </w:pPr>
      <w:r>
        <w:rPr>
          <w:b/>
          <w:bCs/>
          <w:sz w:val="22"/>
          <w:szCs w:val="22"/>
        </w:rPr>
        <w:t>Ley 819 de 2003</w:t>
      </w:r>
      <w:r>
        <w:rPr>
          <w:sz w:val="22"/>
          <w:szCs w:val="22"/>
        </w:rPr>
        <w:t xml:space="preserve"> “Por la cual se dictan normas orgánicas en materia de presupuesto, responsabilidad y transparencia fiscal y se dictan otras disposiciones.”</w:t>
      </w:r>
    </w:p>
    <w:p w:rsidR="00743DA6" w:rsidRDefault="00743DA6">
      <w:pPr>
        <w:jc w:val="both"/>
        <w:rPr>
          <w:sz w:val="22"/>
          <w:szCs w:val="22"/>
        </w:rPr>
      </w:pPr>
    </w:p>
    <w:p w:rsidR="00743DA6" w:rsidRDefault="00743DA6">
      <w:pPr>
        <w:jc w:val="both"/>
        <w:rPr>
          <w:sz w:val="22"/>
          <w:szCs w:val="22"/>
        </w:rPr>
      </w:pPr>
    </w:p>
    <w:p w:rsidR="00743DA6" w:rsidRDefault="00D95D19">
      <w:pPr>
        <w:numPr>
          <w:ilvl w:val="0"/>
          <w:numId w:val="32"/>
        </w:numPr>
        <w:pBdr>
          <w:top w:val="nil"/>
          <w:left w:val="nil"/>
          <w:bottom w:val="nil"/>
          <w:right w:val="nil"/>
          <w:between w:val="nil"/>
        </w:pBdr>
        <w:jc w:val="both"/>
        <w:rPr>
          <w:b/>
          <w:bCs/>
          <w:color w:val="000000"/>
          <w:sz w:val="22"/>
          <w:szCs w:val="22"/>
        </w:rPr>
      </w:pPr>
      <w:r>
        <w:rPr>
          <w:b/>
          <w:bCs/>
          <w:color w:val="000000"/>
          <w:sz w:val="22"/>
          <w:szCs w:val="22"/>
        </w:rPr>
        <w:t xml:space="preserve">DE ORDEN DISTRITAL </w:t>
      </w:r>
    </w:p>
    <w:p w:rsidR="00743DA6" w:rsidRDefault="00743DA6">
      <w:pPr>
        <w:jc w:val="both"/>
        <w:rPr>
          <w:b/>
          <w:bCs/>
          <w:sz w:val="22"/>
          <w:szCs w:val="22"/>
        </w:rPr>
      </w:pPr>
    </w:p>
    <w:p w:rsidR="00743DA6" w:rsidRDefault="00D95D19">
      <w:pPr>
        <w:jc w:val="both"/>
        <w:rPr>
          <w:sz w:val="22"/>
          <w:szCs w:val="22"/>
        </w:rPr>
      </w:pPr>
      <w:r>
        <w:rPr>
          <w:b/>
          <w:bCs/>
          <w:sz w:val="22"/>
          <w:szCs w:val="22"/>
        </w:rPr>
        <w:t>Decreto Distrital 714 de 1996 “</w:t>
      </w:r>
      <w:r>
        <w:rPr>
          <w:sz w:val="22"/>
          <w:szCs w:val="22"/>
        </w:rPr>
        <w:t>por el cual se compilan el Acuerdo 24 de 1995 y Acuerdo 20 de 1996 que conforman el Estatuto Orgánico del Presupuesto Distrital.”</w:t>
      </w:r>
    </w:p>
    <w:p w:rsidR="00743DA6" w:rsidRDefault="00743DA6">
      <w:pPr>
        <w:jc w:val="both"/>
        <w:rPr>
          <w:sz w:val="22"/>
          <w:szCs w:val="22"/>
        </w:rPr>
      </w:pPr>
    </w:p>
    <w:p w:rsidR="00743DA6" w:rsidRDefault="00D95D19">
      <w:pPr>
        <w:jc w:val="both"/>
        <w:rPr>
          <w:sz w:val="22"/>
          <w:szCs w:val="22"/>
        </w:rPr>
      </w:pPr>
      <w:r>
        <w:rPr>
          <w:b/>
          <w:bCs/>
          <w:sz w:val="22"/>
          <w:szCs w:val="22"/>
        </w:rPr>
        <w:t>Decreto Distrital 662 de 2018</w:t>
      </w:r>
      <w:r>
        <w:rPr>
          <w:sz w:val="22"/>
          <w:szCs w:val="22"/>
        </w:rPr>
        <w:t xml:space="preserve"> “Por el cual se reglamenta y se establecen directrices y controles en el proceso presupuestal de las Empresas Distritales"</w:t>
      </w:r>
    </w:p>
    <w:p w:rsidR="00743DA6" w:rsidRDefault="00743DA6">
      <w:pPr>
        <w:jc w:val="both"/>
        <w:rPr>
          <w:sz w:val="22"/>
          <w:szCs w:val="22"/>
        </w:rPr>
      </w:pPr>
    </w:p>
    <w:p w:rsidR="00743DA6" w:rsidRDefault="00D95D19">
      <w:pPr>
        <w:jc w:val="both"/>
        <w:rPr>
          <w:sz w:val="22"/>
          <w:szCs w:val="22"/>
        </w:rPr>
      </w:pPr>
      <w:r>
        <w:rPr>
          <w:b/>
          <w:bCs/>
          <w:sz w:val="22"/>
          <w:szCs w:val="22"/>
        </w:rPr>
        <w:t>Acuerdo Distrital 741 de 2019</w:t>
      </w:r>
      <w:r>
        <w:rPr>
          <w:sz w:val="22"/>
          <w:szCs w:val="22"/>
        </w:rPr>
        <w:t xml:space="preserve"> “Por el cual se expide el reglamento interno del Concejo de Bogotá, Distrito Capital”</w:t>
      </w:r>
    </w:p>
    <w:p w:rsidR="00743DA6" w:rsidRDefault="00743DA6">
      <w:pPr>
        <w:jc w:val="both"/>
        <w:rPr>
          <w:b/>
          <w:bCs/>
          <w:sz w:val="22"/>
          <w:szCs w:val="22"/>
        </w:rPr>
      </w:pPr>
    </w:p>
    <w:p w:rsidR="00743DA6" w:rsidRDefault="00D95D19">
      <w:pPr>
        <w:jc w:val="both"/>
        <w:rPr>
          <w:sz w:val="22"/>
          <w:szCs w:val="22"/>
        </w:rPr>
      </w:pPr>
      <w:r>
        <w:rPr>
          <w:b/>
          <w:bCs/>
          <w:sz w:val="22"/>
          <w:szCs w:val="22"/>
        </w:rPr>
        <w:t>Decreto Distrital 192 de 2021</w:t>
      </w:r>
      <w:r>
        <w:rPr>
          <w:sz w:val="22"/>
          <w:szCs w:val="22"/>
        </w:rPr>
        <w:t xml:space="preserve"> “Por medio del cual se reglamenta el Estatuto Orgánico del Presupuesto Distrital y se dictan otras disposiciones</w:t>
      </w:r>
    </w:p>
    <w:p w:rsidR="00743DA6" w:rsidRDefault="00743DA6">
      <w:pPr>
        <w:jc w:val="both"/>
        <w:rPr>
          <w:b/>
          <w:bCs/>
          <w:sz w:val="22"/>
          <w:szCs w:val="22"/>
        </w:rPr>
      </w:pPr>
    </w:p>
    <w:p w:rsidR="00743DA6" w:rsidRDefault="00D95D19">
      <w:pPr>
        <w:jc w:val="both"/>
        <w:rPr>
          <w:sz w:val="22"/>
          <w:szCs w:val="22"/>
        </w:rPr>
      </w:pPr>
      <w:r>
        <w:rPr>
          <w:b/>
          <w:bCs/>
          <w:sz w:val="22"/>
          <w:szCs w:val="22"/>
        </w:rPr>
        <w:t>Decreto Distrital 356 de 2022</w:t>
      </w:r>
      <w:r>
        <w:rPr>
          <w:sz w:val="22"/>
          <w:szCs w:val="22"/>
        </w:rPr>
        <w:t xml:space="preserve"> “Por medio del cual modifica y adiciona el Decreto 192 de 2021, ‘Por medio del cual se reglamenta el Estatuto Orgánico del Presupuesto Distrital y se dictan otras disposiciones”</w:t>
      </w:r>
    </w:p>
    <w:p w:rsidR="00743DA6" w:rsidRDefault="00743DA6">
      <w:pPr>
        <w:jc w:val="both"/>
        <w:rPr>
          <w:sz w:val="22"/>
          <w:szCs w:val="22"/>
        </w:rPr>
      </w:pPr>
    </w:p>
    <w:p w:rsidR="00743DA6" w:rsidRDefault="00D95D19">
      <w:pPr>
        <w:jc w:val="both"/>
        <w:rPr>
          <w:b/>
          <w:bCs/>
          <w:sz w:val="22"/>
          <w:szCs w:val="22"/>
        </w:rPr>
      </w:pPr>
      <w:r>
        <w:rPr>
          <w:b/>
          <w:bCs/>
          <w:sz w:val="22"/>
          <w:szCs w:val="22"/>
        </w:rPr>
        <w:t>Decreto 556 de 2023</w:t>
      </w:r>
      <w:r>
        <w:rPr>
          <w:sz w:val="22"/>
          <w:szCs w:val="22"/>
        </w:rPr>
        <w:t xml:space="preserve"> “Por medio del cual se adiciona el Decreto Distrital 192 de 2021, "Por medio del cual se reglamenta el Estatuto Orgánico del Presupuesto Distrital y se dictan otras disposiciones"</w:t>
      </w:r>
    </w:p>
    <w:p w:rsidR="00743DA6" w:rsidRDefault="00743DA6">
      <w:pPr>
        <w:jc w:val="both"/>
        <w:rPr>
          <w:b/>
          <w:bCs/>
          <w:sz w:val="22"/>
          <w:szCs w:val="22"/>
        </w:rPr>
      </w:pPr>
    </w:p>
    <w:p w:rsidR="00743DA6" w:rsidRDefault="00D95D19">
      <w:pPr>
        <w:jc w:val="both"/>
        <w:rPr>
          <w:sz w:val="22"/>
          <w:szCs w:val="22"/>
        </w:rPr>
      </w:pPr>
      <w:r>
        <w:rPr>
          <w:b/>
          <w:bCs/>
          <w:sz w:val="22"/>
          <w:szCs w:val="22"/>
        </w:rPr>
        <w:t xml:space="preserve">Acuerdo Distrital 927 de 2024 </w:t>
      </w:r>
      <w:r>
        <w:rPr>
          <w:sz w:val="22"/>
          <w:szCs w:val="22"/>
        </w:rPr>
        <w:t>Plan Distrital de Desarrollo, “Bogotá Camina Segura”, 2024-2027</w:t>
      </w:r>
    </w:p>
    <w:p w:rsidR="00743DA6" w:rsidRDefault="00743DA6">
      <w:pPr>
        <w:jc w:val="both"/>
        <w:rPr>
          <w:sz w:val="22"/>
          <w:szCs w:val="22"/>
        </w:rPr>
      </w:pPr>
    </w:p>
    <w:p w:rsidR="00743DA6" w:rsidRDefault="00743DA6">
      <w:pPr>
        <w:jc w:val="both"/>
        <w:rPr>
          <w:b/>
          <w:bCs/>
          <w:sz w:val="22"/>
          <w:szCs w:val="22"/>
        </w:rPr>
      </w:pPr>
    </w:p>
    <w:p w:rsidR="00743DA6" w:rsidRDefault="00743DA6">
      <w:pPr>
        <w:jc w:val="both"/>
        <w:rPr>
          <w:b/>
          <w:bCs/>
          <w:color w:val="000000"/>
          <w:sz w:val="22"/>
          <w:szCs w:val="22"/>
        </w:rPr>
      </w:pPr>
    </w:p>
    <w:tbl>
      <w:tblPr>
        <w:tblStyle w:val="afffffffff3"/>
        <w:tblW w:w="9072" w:type="dxa"/>
        <w:tblLayout w:type="fixed"/>
        <w:tblLook w:val="0000" w:firstRow="0" w:lastRow="0" w:firstColumn="0" w:lastColumn="0" w:noHBand="0" w:noVBand="0"/>
      </w:tblPr>
      <w:tblGrid>
        <w:gridCol w:w="9072"/>
      </w:tblGrid>
      <w:tr w:rsidR="00743DA6">
        <w:trPr>
          <w:trHeight w:val="309"/>
        </w:trPr>
        <w:tc>
          <w:tcPr>
            <w:tcW w:w="0" w:type="auto"/>
            <w:vAlign w:val="center"/>
          </w:tcPr>
          <w:p w:rsidR="00743DA6" w:rsidRDefault="00D95D19">
            <w:pPr>
              <w:widowControl/>
              <w:numPr>
                <w:ilvl w:val="0"/>
                <w:numId w:val="28"/>
              </w:numPr>
              <w:pBdr>
                <w:top w:val="nil"/>
                <w:left w:val="nil"/>
                <w:bottom w:val="nil"/>
                <w:right w:val="nil"/>
                <w:between w:val="nil"/>
              </w:pBdr>
              <w:rPr>
                <w:rFonts w:ascii="Arial" w:eastAsia="Arial" w:hAnsi="Arial" w:cs="Arial"/>
                <w:color w:val="000000"/>
              </w:rPr>
            </w:pPr>
            <w:r>
              <w:rPr>
                <w:rFonts w:ascii="Arial" w:eastAsia="Arial" w:hAnsi="Arial" w:cs="Arial"/>
                <w:b/>
                <w:bCs/>
                <w:color w:val="000000"/>
              </w:rPr>
              <w:t>COMPETENCIA DEL CONCEJO</w:t>
            </w:r>
          </w:p>
          <w:p w:rsidR="00743DA6" w:rsidRDefault="00743DA6">
            <w:pPr>
              <w:jc w:val="both"/>
              <w:rPr>
                <w:rFonts w:ascii="Arial" w:eastAsia="Arial" w:hAnsi="Arial" w:cs="Arial"/>
                <w:color w:val="000000"/>
              </w:rPr>
            </w:pPr>
          </w:p>
          <w:p w:rsidR="00743DA6" w:rsidRDefault="00D95D19">
            <w:pPr>
              <w:jc w:val="both"/>
              <w:rPr>
                <w:rFonts w:ascii="Arial" w:eastAsia="Arial" w:hAnsi="Arial" w:cs="Arial"/>
                <w:color w:val="000000"/>
              </w:rPr>
            </w:pPr>
            <w:r>
              <w:rPr>
                <w:rFonts w:ascii="Arial" w:eastAsia="Arial" w:hAnsi="Arial" w:cs="Arial"/>
                <w:color w:val="000000"/>
              </w:rPr>
              <w:t xml:space="preserve">El Concejo de la ciudad es competente para presentar y aprobar el presente proyecto de acuerdo, acumulado por unidad de materia de conformidad con el artículo 313 de la Constitución Política y el artículo 12 del Decreto Ley 1421 de 1993, numeral 17: </w:t>
            </w:r>
          </w:p>
          <w:p w:rsidR="00743DA6" w:rsidRDefault="00743DA6">
            <w:pPr>
              <w:jc w:val="both"/>
              <w:rPr>
                <w:rFonts w:ascii="Arial" w:eastAsia="Arial" w:hAnsi="Arial" w:cs="Arial"/>
                <w:color w:val="000000"/>
              </w:rPr>
            </w:pPr>
          </w:p>
          <w:p w:rsidR="00743DA6" w:rsidRDefault="00D95D19">
            <w:pPr>
              <w:jc w:val="both"/>
              <w:rPr>
                <w:rFonts w:ascii="Arial" w:eastAsia="Arial" w:hAnsi="Arial" w:cs="Arial"/>
                <w:b/>
                <w:bCs/>
                <w:color w:val="000000"/>
              </w:rPr>
            </w:pPr>
            <w:r>
              <w:rPr>
                <w:rFonts w:ascii="Arial" w:eastAsia="Arial" w:hAnsi="Arial" w:cs="Arial"/>
                <w:b/>
                <w:bCs/>
                <w:color w:val="000000"/>
              </w:rPr>
              <w:t xml:space="preserve">Constitución Política </w:t>
            </w:r>
          </w:p>
          <w:p w:rsidR="00743DA6" w:rsidRDefault="00743DA6">
            <w:pPr>
              <w:jc w:val="both"/>
              <w:rPr>
                <w:rFonts w:ascii="Arial" w:eastAsia="Arial" w:hAnsi="Arial" w:cs="Arial"/>
                <w:color w:val="000000"/>
              </w:rPr>
            </w:pPr>
          </w:p>
          <w:p w:rsidR="00743DA6" w:rsidRDefault="00D95D19">
            <w:pPr>
              <w:jc w:val="both"/>
              <w:rPr>
                <w:rFonts w:ascii="Arial" w:eastAsia="Arial" w:hAnsi="Arial" w:cs="Arial"/>
                <w:color w:val="000000"/>
              </w:rPr>
            </w:pPr>
            <w:r>
              <w:rPr>
                <w:rFonts w:ascii="Arial" w:eastAsia="Arial" w:hAnsi="Arial" w:cs="Arial"/>
                <w:b/>
                <w:bCs/>
                <w:color w:val="000000"/>
              </w:rPr>
              <w:t xml:space="preserve">Artículo 313. </w:t>
            </w:r>
            <w:r>
              <w:rPr>
                <w:rFonts w:ascii="Arial" w:eastAsia="Arial" w:hAnsi="Arial" w:cs="Arial"/>
                <w:color w:val="000000"/>
              </w:rPr>
              <w:t xml:space="preserve">Corresponde a los concejos: </w:t>
            </w:r>
          </w:p>
          <w:p w:rsidR="00743DA6" w:rsidRDefault="00743DA6">
            <w:pPr>
              <w:jc w:val="both"/>
              <w:rPr>
                <w:rFonts w:ascii="Arial" w:eastAsia="Arial" w:hAnsi="Arial" w:cs="Arial"/>
                <w:color w:val="000000"/>
              </w:rPr>
            </w:pPr>
          </w:p>
          <w:p w:rsidR="00743DA6" w:rsidRDefault="00D95D19">
            <w:pPr>
              <w:ind w:left="360"/>
              <w:jc w:val="both"/>
              <w:rPr>
                <w:rFonts w:ascii="Arial" w:eastAsia="Arial" w:hAnsi="Arial" w:cs="Arial"/>
                <w:color w:val="000000"/>
              </w:rPr>
            </w:pPr>
            <w:r>
              <w:rPr>
                <w:rFonts w:ascii="Arial" w:eastAsia="Arial" w:hAnsi="Arial" w:cs="Arial"/>
                <w:color w:val="000000"/>
              </w:rPr>
              <w:t>5.. Dictar las normas orgánicas del presupuesto y expedir anualmente el presupuesto de rentas y gastos.</w:t>
            </w:r>
          </w:p>
          <w:p w:rsidR="00743DA6" w:rsidRDefault="00743DA6">
            <w:pPr>
              <w:jc w:val="both"/>
              <w:rPr>
                <w:rFonts w:ascii="Arial" w:eastAsia="Arial" w:hAnsi="Arial" w:cs="Arial"/>
                <w:b/>
                <w:bCs/>
                <w:color w:val="000000"/>
              </w:rPr>
            </w:pPr>
          </w:p>
          <w:p w:rsidR="00743DA6" w:rsidRDefault="00D95D19">
            <w:pPr>
              <w:jc w:val="both"/>
              <w:rPr>
                <w:rFonts w:ascii="Arial" w:eastAsia="Arial" w:hAnsi="Arial" w:cs="Arial"/>
                <w:color w:val="000000"/>
              </w:rPr>
            </w:pPr>
            <w:r>
              <w:rPr>
                <w:rFonts w:ascii="Arial" w:eastAsia="Arial" w:hAnsi="Arial" w:cs="Arial"/>
                <w:b/>
                <w:bCs/>
                <w:color w:val="000000"/>
              </w:rPr>
              <w:t xml:space="preserve">Decreto 1421 de 1993 </w:t>
            </w:r>
          </w:p>
          <w:p w:rsidR="00743DA6" w:rsidRDefault="00743DA6">
            <w:pPr>
              <w:jc w:val="both"/>
              <w:rPr>
                <w:rFonts w:ascii="Arial" w:eastAsia="Arial" w:hAnsi="Arial" w:cs="Arial"/>
                <w:b/>
                <w:bCs/>
                <w:color w:val="000000"/>
              </w:rPr>
            </w:pPr>
          </w:p>
          <w:p w:rsidR="00743DA6" w:rsidRDefault="00D95D19">
            <w:pPr>
              <w:jc w:val="both"/>
              <w:rPr>
                <w:rFonts w:ascii="Arial" w:eastAsia="Arial" w:hAnsi="Arial" w:cs="Arial"/>
                <w:color w:val="000000"/>
              </w:rPr>
            </w:pPr>
            <w:r>
              <w:rPr>
                <w:rFonts w:ascii="Arial" w:eastAsia="Arial" w:hAnsi="Arial" w:cs="Arial"/>
                <w:b/>
                <w:bCs/>
                <w:color w:val="000000"/>
              </w:rPr>
              <w:t xml:space="preserve">Artículo 12. </w:t>
            </w:r>
            <w:r>
              <w:rPr>
                <w:rFonts w:ascii="Arial" w:eastAsia="Arial" w:hAnsi="Arial" w:cs="Arial"/>
                <w:color w:val="000000"/>
              </w:rPr>
              <w:t>Atribuciones</w:t>
            </w:r>
            <w:r>
              <w:rPr>
                <w:rFonts w:ascii="Arial" w:eastAsia="Arial" w:hAnsi="Arial" w:cs="Arial"/>
                <w:b/>
                <w:bCs/>
                <w:color w:val="000000"/>
              </w:rPr>
              <w:t xml:space="preserve">. </w:t>
            </w:r>
            <w:r>
              <w:rPr>
                <w:rFonts w:ascii="Arial" w:eastAsia="Arial" w:hAnsi="Arial" w:cs="Arial"/>
                <w:color w:val="000000"/>
              </w:rPr>
              <w:t xml:space="preserve">Corresponde al Concejo Distrital, de conformidad con la Constitución y a la ley: </w:t>
            </w:r>
          </w:p>
          <w:p w:rsidR="00743DA6" w:rsidRDefault="00743DA6">
            <w:pPr>
              <w:jc w:val="both"/>
              <w:rPr>
                <w:rFonts w:ascii="Arial" w:eastAsia="Arial" w:hAnsi="Arial" w:cs="Arial"/>
                <w:color w:val="000000"/>
              </w:rPr>
            </w:pPr>
          </w:p>
          <w:p w:rsidR="00743DA6" w:rsidRDefault="00D95D19">
            <w:pPr>
              <w:widowControl/>
              <w:numPr>
                <w:ilvl w:val="0"/>
                <w:numId w:val="29"/>
              </w:numPr>
              <w:pBdr>
                <w:top w:val="nil"/>
                <w:left w:val="nil"/>
                <w:bottom w:val="nil"/>
                <w:right w:val="nil"/>
                <w:between w:val="nil"/>
              </w:pBdr>
              <w:jc w:val="both"/>
              <w:rPr>
                <w:rFonts w:ascii="Arial" w:eastAsia="Arial" w:hAnsi="Arial" w:cs="Arial"/>
                <w:i/>
                <w:iCs/>
                <w:color w:val="000000"/>
              </w:rPr>
            </w:pPr>
            <w:r>
              <w:rPr>
                <w:rFonts w:ascii="Arial" w:eastAsia="Arial" w:hAnsi="Arial" w:cs="Arial"/>
                <w:i/>
                <w:iCs/>
                <w:color w:val="000000"/>
              </w:rPr>
              <w:t>Dictar las normas orgánicas del presupuesto y expedir anualmente el presupuesto de rentas y gastos.</w:t>
            </w:r>
          </w:p>
          <w:p w:rsidR="00743DA6" w:rsidRDefault="00743DA6">
            <w:pPr>
              <w:widowControl/>
              <w:pBdr>
                <w:top w:val="nil"/>
                <w:left w:val="nil"/>
                <w:bottom w:val="nil"/>
                <w:right w:val="nil"/>
                <w:between w:val="nil"/>
              </w:pBdr>
              <w:ind w:left="360"/>
              <w:jc w:val="both"/>
              <w:rPr>
                <w:rFonts w:ascii="Arial" w:eastAsia="Arial" w:hAnsi="Arial" w:cs="Arial"/>
                <w:color w:val="000000"/>
              </w:rPr>
            </w:pPr>
          </w:p>
          <w:p w:rsidR="00743DA6" w:rsidRDefault="00D95D19">
            <w:pPr>
              <w:jc w:val="both"/>
              <w:rPr>
                <w:rFonts w:ascii="Arial" w:eastAsia="Arial" w:hAnsi="Arial" w:cs="Arial"/>
                <w:b/>
                <w:bCs/>
                <w:color w:val="000000"/>
              </w:rPr>
            </w:pPr>
            <w:r>
              <w:rPr>
                <w:rFonts w:ascii="Arial" w:eastAsia="Arial" w:hAnsi="Arial" w:cs="Arial"/>
                <w:b/>
                <w:bCs/>
                <w:color w:val="000000"/>
              </w:rPr>
              <w:t>Acuerdo Distrital 741 de 2019</w:t>
            </w:r>
          </w:p>
          <w:p w:rsidR="00743DA6" w:rsidRDefault="00743DA6">
            <w:pPr>
              <w:jc w:val="both"/>
              <w:rPr>
                <w:rFonts w:ascii="Arial" w:eastAsia="Arial" w:hAnsi="Arial" w:cs="Arial"/>
                <w:color w:val="000000"/>
              </w:rPr>
            </w:pPr>
          </w:p>
          <w:p w:rsidR="00743DA6" w:rsidRDefault="00D95D19">
            <w:pPr>
              <w:jc w:val="both"/>
              <w:rPr>
                <w:rFonts w:ascii="Arial" w:eastAsia="Arial" w:hAnsi="Arial" w:cs="Arial"/>
                <w:color w:val="000000"/>
              </w:rPr>
            </w:pPr>
            <w:r>
              <w:rPr>
                <w:rFonts w:ascii="Arial" w:eastAsia="Arial" w:hAnsi="Arial" w:cs="Arial"/>
                <w:b/>
                <w:bCs/>
                <w:color w:val="000000"/>
              </w:rPr>
              <w:t xml:space="preserve">Artículo 35.- </w:t>
            </w:r>
            <w:r>
              <w:rPr>
                <w:rFonts w:ascii="Arial" w:eastAsia="Arial" w:hAnsi="Arial" w:cs="Arial"/>
                <w:color w:val="000000"/>
              </w:rPr>
              <w:t>Comisión tercera permanente de Hacienda y Crédito Público.</w:t>
            </w:r>
            <w:r>
              <w:rPr>
                <w:rFonts w:ascii="Arial" w:eastAsia="Arial" w:hAnsi="Arial" w:cs="Arial"/>
                <w:b/>
                <w:bCs/>
                <w:color w:val="000000"/>
              </w:rPr>
              <w:t> </w:t>
            </w:r>
            <w:r>
              <w:rPr>
                <w:rFonts w:ascii="Arial" w:eastAsia="Arial" w:hAnsi="Arial" w:cs="Arial"/>
                <w:color w:val="000000"/>
              </w:rPr>
              <w:t>Es la encargada de ejercer la función normativa y de control político, exclusivamente al cumplimiento de los objetivos misionales de los Sectores Administrativos de: Hacienda; Desarrollo Económico, Industria y Turismo y de sus entidades adscritas y vinculadas, en la estructura de la Administración Pública Distrital y en especial sobre los siguientes asuntos:</w:t>
            </w:r>
          </w:p>
          <w:p w:rsidR="00743DA6" w:rsidRDefault="00D95D19">
            <w:pPr>
              <w:jc w:val="both"/>
              <w:rPr>
                <w:rFonts w:ascii="Arial" w:eastAsia="Arial" w:hAnsi="Arial" w:cs="Arial"/>
                <w:color w:val="000000"/>
              </w:rPr>
            </w:pPr>
            <w:r>
              <w:rPr>
                <w:rFonts w:ascii="Arial" w:eastAsia="Arial" w:hAnsi="Arial" w:cs="Arial"/>
                <w:color w:val="000000"/>
              </w:rPr>
              <w:t> </w:t>
            </w:r>
          </w:p>
          <w:p w:rsidR="00743DA6" w:rsidRDefault="00D95D19">
            <w:pPr>
              <w:widowControl/>
              <w:numPr>
                <w:ilvl w:val="0"/>
                <w:numId w:val="31"/>
              </w:numPr>
              <w:pBdr>
                <w:top w:val="nil"/>
                <w:left w:val="nil"/>
                <w:bottom w:val="nil"/>
                <w:right w:val="nil"/>
                <w:between w:val="nil"/>
              </w:pBdr>
              <w:jc w:val="both"/>
              <w:rPr>
                <w:rFonts w:ascii="Arial" w:eastAsia="Arial" w:hAnsi="Arial" w:cs="Arial"/>
                <w:b/>
                <w:bCs/>
                <w:i/>
                <w:iCs/>
                <w:color w:val="000000"/>
              </w:rPr>
            </w:pPr>
            <w:r>
              <w:rPr>
                <w:rFonts w:ascii="Arial" w:eastAsia="Arial" w:hAnsi="Arial" w:cs="Arial"/>
                <w:i/>
                <w:iCs/>
                <w:color w:val="000000"/>
              </w:rPr>
              <w:t>Plan Anual de Ingresos, Rentas y Gastos e Inversiones en el Distrito Capital. Aprobación del presupuesto anual y sus modificaciones presupuestales de conformidad con la Constitución, la ley y demás normas concordantes</w:t>
            </w:r>
            <w:r>
              <w:rPr>
                <w:rFonts w:ascii="Arial" w:eastAsia="Arial" w:hAnsi="Arial" w:cs="Arial"/>
                <w:b/>
                <w:bCs/>
                <w:i/>
                <w:iCs/>
                <w:color w:val="000000"/>
              </w:rPr>
              <w:t>.</w:t>
            </w:r>
          </w:p>
          <w:p w:rsidR="00743DA6" w:rsidRDefault="00743DA6">
            <w:pPr>
              <w:jc w:val="both"/>
              <w:rPr>
                <w:rFonts w:ascii="Arial" w:eastAsia="Arial" w:hAnsi="Arial" w:cs="Arial"/>
                <w:color w:val="000000"/>
              </w:rPr>
            </w:pPr>
          </w:p>
        </w:tc>
      </w:tr>
    </w:tbl>
    <w:p w:rsidR="00743DA6" w:rsidRDefault="00743DA6">
      <w:pPr>
        <w:pBdr>
          <w:top w:val="nil"/>
          <w:left w:val="nil"/>
          <w:bottom w:val="nil"/>
          <w:right w:val="nil"/>
          <w:between w:val="nil"/>
        </w:pBdr>
        <w:rPr>
          <w:color w:val="000000"/>
          <w:sz w:val="22"/>
          <w:szCs w:val="22"/>
        </w:rPr>
      </w:pPr>
    </w:p>
    <w:p w:rsidR="00743DA6" w:rsidRDefault="00743DA6">
      <w:pPr>
        <w:tabs>
          <w:tab w:val="left" w:pos="8080"/>
        </w:tabs>
        <w:jc w:val="both"/>
        <w:rPr>
          <w:color w:val="000000"/>
          <w:sz w:val="22"/>
          <w:szCs w:val="22"/>
        </w:rPr>
      </w:pPr>
    </w:p>
    <w:p w:rsidR="00743DA6" w:rsidRDefault="00D95D19">
      <w:pPr>
        <w:numPr>
          <w:ilvl w:val="0"/>
          <w:numId w:val="32"/>
        </w:numPr>
        <w:pBdr>
          <w:top w:val="nil"/>
          <w:left w:val="nil"/>
          <w:bottom w:val="nil"/>
          <w:right w:val="nil"/>
          <w:between w:val="nil"/>
        </w:pBdr>
        <w:jc w:val="both"/>
        <w:rPr>
          <w:b/>
          <w:bCs/>
          <w:color w:val="000000"/>
          <w:sz w:val="22"/>
          <w:szCs w:val="22"/>
        </w:rPr>
      </w:pPr>
      <w:r>
        <w:rPr>
          <w:b/>
          <w:bCs/>
          <w:color w:val="000000"/>
          <w:sz w:val="22"/>
          <w:szCs w:val="22"/>
        </w:rPr>
        <w:t>TRAZADOR PRESUPUESTAL CAMPESINADO</w:t>
      </w:r>
    </w:p>
    <w:p w:rsidR="00743DA6" w:rsidRDefault="00743DA6">
      <w:pPr>
        <w:pBdr>
          <w:top w:val="nil"/>
          <w:left w:val="nil"/>
          <w:bottom w:val="nil"/>
          <w:right w:val="nil"/>
          <w:between w:val="nil"/>
        </w:pBdr>
        <w:ind w:left="720"/>
        <w:jc w:val="both"/>
        <w:rPr>
          <w:color w:val="000000"/>
          <w:sz w:val="22"/>
          <w:szCs w:val="22"/>
        </w:rPr>
      </w:pPr>
    </w:p>
    <w:p w:rsidR="00743DA6" w:rsidRDefault="00D95D19">
      <w:pPr>
        <w:jc w:val="both"/>
        <w:rPr>
          <w:color w:val="000000"/>
          <w:sz w:val="22"/>
          <w:szCs w:val="22"/>
        </w:rPr>
      </w:pPr>
      <w:r>
        <w:rPr>
          <w:color w:val="000000"/>
          <w:sz w:val="22"/>
          <w:szCs w:val="22"/>
        </w:rPr>
        <w:t xml:space="preserve">Conforme a lo establecido en el Acto Legislativo 01 de 05 de julio de 2023 que modificó el artículo 64 de la Constitución Política Nacional y en consideración a que el campesinado de Bogotá ocupa una extensión cercana al 70% total del área de Bogotá, se hace necesario que se fije un trazador presupuestal que además permita que las inversiones que se hacen en el Distrito Capital tengan un enfoque al campesinado que permita mejorar las condiciones no sólo de acceso a la tierra, sino que además garantice la prestación total y permanente de los servicios a cargo del Estado. </w:t>
      </w:r>
    </w:p>
    <w:p w:rsidR="00743DA6" w:rsidRDefault="00743DA6">
      <w:pPr>
        <w:ind w:left="360"/>
        <w:jc w:val="both"/>
        <w:rPr>
          <w:color w:val="000000"/>
          <w:sz w:val="22"/>
          <w:szCs w:val="22"/>
        </w:rPr>
      </w:pPr>
    </w:p>
    <w:p w:rsidR="00743DA6" w:rsidRDefault="00D95D19">
      <w:pPr>
        <w:jc w:val="both"/>
        <w:rPr>
          <w:color w:val="000000"/>
          <w:sz w:val="22"/>
          <w:szCs w:val="22"/>
        </w:rPr>
      </w:pPr>
      <w:r>
        <w:rPr>
          <w:color w:val="000000"/>
          <w:sz w:val="22"/>
          <w:szCs w:val="22"/>
        </w:rPr>
        <w:t>El parágrafo 1 del nuevo texto constitucional estableció que: “</w:t>
      </w:r>
      <w:r>
        <w:rPr>
          <w:i/>
          <w:iCs/>
          <w:color w:val="000000"/>
          <w:sz w:val="22"/>
          <w:szCs w:val="22"/>
        </w:rPr>
        <w:t xml:space="preserve">La ley reglamentará la institucionalidad necesaria para lograr los fines del presente artículo y </w:t>
      </w:r>
      <w:r>
        <w:rPr>
          <w:b/>
          <w:bCs/>
          <w:i/>
          <w:iCs/>
          <w:color w:val="000000"/>
          <w:sz w:val="22"/>
          <w:szCs w:val="22"/>
        </w:rPr>
        <w:t>establecerá los mecanismos presupuestales que se requieran,</w:t>
      </w:r>
      <w:r>
        <w:rPr>
          <w:i/>
          <w:iCs/>
          <w:color w:val="000000"/>
          <w:sz w:val="22"/>
          <w:szCs w:val="22"/>
        </w:rPr>
        <w:t xml:space="preserve"> así como el derecho de los campesinos a retirarse de la colectividad, conservando el porcentaje de tierra que le corresponda en casos de territorios campesinos donde la propiedad de la tierra sea colectiva</w:t>
      </w:r>
      <w:r>
        <w:rPr>
          <w:color w:val="000000"/>
          <w:sz w:val="22"/>
          <w:szCs w:val="22"/>
        </w:rPr>
        <w:t xml:space="preserve">.” Por esta razón se hace necesario generar el trazador y con ello empezar a dar cumplimiento a la constitución a la vez que se destina un presupuesto dedicado especialmente al campesinado que tiene un rezago grande sobre la inversión en Bogotá. </w:t>
      </w:r>
    </w:p>
    <w:p w:rsidR="00743DA6" w:rsidRDefault="00743DA6">
      <w:pPr>
        <w:jc w:val="both"/>
        <w:rPr>
          <w:color w:val="000000"/>
          <w:sz w:val="21"/>
          <w:szCs w:val="21"/>
        </w:rPr>
      </w:pPr>
    </w:p>
    <w:p w:rsidR="00743DA6" w:rsidRDefault="00743DA6">
      <w:pPr>
        <w:jc w:val="both"/>
        <w:rPr>
          <w:b/>
          <w:bCs/>
          <w:sz w:val="21"/>
          <w:szCs w:val="21"/>
          <w:highlight w:val="green"/>
        </w:rPr>
      </w:pPr>
    </w:p>
    <w:p w:rsidR="00743DA6" w:rsidRDefault="00743DA6">
      <w:pPr>
        <w:jc w:val="both"/>
        <w:rPr>
          <w:b/>
          <w:bCs/>
          <w:sz w:val="21"/>
          <w:szCs w:val="21"/>
          <w:highlight w:val="green"/>
        </w:rPr>
      </w:pPr>
    </w:p>
    <w:p w:rsidR="00743DA6" w:rsidRDefault="00D95D19">
      <w:pPr>
        <w:spacing w:before="240" w:line="276" w:lineRule="auto"/>
        <w:jc w:val="both"/>
        <w:rPr>
          <w:b/>
          <w:bCs/>
          <w:i/>
          <w:iCs/>
          <w:sz w:val="21"/>
          <w:szCs w:val="21"/>
        </w:rPr>
      </w:pPr>
      <w:r>
        <w:rPr>
          <w:b/>
          <w:bCs/>
          <w:i/>
          <w:iCs/>
          <w:sz w:val="21"/>
          <w:szCs w:val="21"/>
        </w:rPr>
        <w:t>CONCLUSIÓN</w:t>
      </w:r>
    </w:p>
    <w:p w:rsidR="00743DA6" w:rsidRDefault="00D95D19">
      <w:pPr>
        <w:spacing w:before="240" w:line="276" w:lineRule="auto"/>
        <w:jc w:val="both"/>
        <w:rPr>
          <w:b/>
          <w:bCs/>
          <w:i/>
          <w:iCs/>
          <w:sz w:val="21"/>
          <w:szCs w:val="21"/>
        </w:rPr>
      </w:pPr>
      <w:r>
        <w:rPr>
          <w:sz w:val="21"/>
          <w:szCs w:val="21"/>
        </w:rPr>
        <w:t xml:space="preserve">De acuerdo con los análisis presentados en el apartado 5 del presente documento, me permito presentar </w:t>
      </w:r>
      <w:r>
        <w:rPr>
          <w:sz w:val="21"/>
          <w:szCs w:val="21"/>
          <w:u w:val="single"/>
        </w:rPr>
        <w:t>PONENCIA NEGATIVA</w:t>
      </w:r>
      <w:r>
        <w:rPr>
          <w:sz w:val="21"/>
          <w:szCs w:val="21"/>
        </w:rPr>
        <w:t xml:space="preserve"> al Proyecto de Acuerdo 1004 de 2025 “</w:t>
      </w:r>
      <w:r>
        <w:rPr>
          <w:i/>
          <w:iCs/>
          <w:sz w:val="21"/>
          <w:szCs w:val="21"/>
        </w:rPr>
        <w:t>POR EL CUAL SE EXPIDE EL PRESUPUESTO ANUAL DE RENTAS E INGRESOS Y DE GASTOS E INVERSIONES DE BOGOTÁ, DISTRITO CAPITAL PARA LA VIGENCIA FISCAL COMPRENDIDA ENTRE EL 1 DE ENERO Y EL 31 DE DICIEMBRE DE 2026 Y SE DICTAN OTRAS DISPOSICIONE</w:t>
      </w:r>
      <w:r>
        <w:rPr>
          <w:sz w:val="21"/>
          <w:szCs w:val="21"/>
        </w:rPr>
        <w:t>S”</w:t>
      </w:r>
      <w:r>
        <w:rPr>
          <w:sz w:val="21"/>
          <w:szCs w:val="21"/>
        </w:rPr>
        <w:tab/>
      </w:r>
      <w:r>
        <w:rPr>
          <w:b/>
          <w:bCs/>
          <w:i/>
          <w:iCs/>
          <w:sz w:val="21"/>
          <w:szCs w:val="21"/>
        </w:rPr>
        <w:t xml:space="preserve">    </w:t>
      </w:r>
    </w:p>
    <w:p w:rsidR="00743DA6" w:rsidRDefault="00743DA6">
      <w:pPr>
        <w:spacing w:before="32"/>
        <w:ind w:left="102" w:right="81"/>
        <w:jc w:val="both"/>
        <w:rPr>
          <w:sz w:val="21"/>
          <w:szCs w:val="21"/>
        </w:rPr>
      </w:pPr>
    </w:p>
    <w:p w:rsidR="00743DA6" w:rsidRDefault="00743DA6">
      <w:pPr>
        <w:spacing w:before="32"/>
        <w:ind w:left="102" w:right="81"/>
        <w:jc w:val="both"/>
        <w:rPr>
          <w:sz w:val="21"/>
          <w:szCs w:val="21"/>
        </w:rPr>
      </w:pPr>
    </w:p>
    <w:p w:rsidR="00743DA6" w:rsidRDefault="00743DA6">
      <w:pPr>
        <w:jc w:val="both"/>
        <w:rPr>
          <w:b/>
          <w:bCs/>
          <w:color w:val="000000"/>
          <w:sz w:val="21"/>
          <w:szCs w:val="21"/>
        </w:rPr>
      </w:pPr>
    </w:p>
    <w:p w:rsidR="00743DA6" w:rsidRDefault="00D95D19">
      <w:pPr>
        <w:jc w:val="both"/>
        <w:rPr>
          <w:color w:val="000000"/>
          <w:sz w:val="21"/>
          <w:szCs w:val="21"/>
        </w:rPr>
      </w:pPr>
      <w:r>
        <w:rPr>
          <w:color w:val="000000"/>
          <w:sz w:val="21"/>
          <w:szCs w:val="21"/>
        </w:rPr>
        <w:t>Cordialmente,</w:t>
      </w:r>
    </w:p>
    <w:p w:rsidR="00743DA6" w:rsidRDefault="00743DA6">
      <w:pPr>
        <w:jc w:val="both"/>
        <w:rPr>
          <w:b/>
          <w:bCs/>
          <w:color w:val="000000"/>
          <w:sz w:val="21"/>
          <w:szCs w:val="21"/>
        </w:rPr>
      </w:pPr>
    </w:p>
    <w:p w:rsidR="00743DA6" w:rsidRDefault="00743DA6">
      <w:pPr>
        <w:jc w:val="both"/>
        <w:rPr>
          <w:b/>
          <w:bCs/>
          <w:sz w:val="21"/>
          <w:szCs w:val="21"/>
        </w:rPr>
      </w:pPr>
    </w:p>
    <w:p w:rsidR="00743DA6" w:rsidRDefault="00743DA6">
      <w:pPr>
        <w:jc w:val="both"/>
        <w:rPr>
          <w:b/>
          <w:bCs/>
          <w:sz w:val="21"/>
          <w:szCs w:val="21"/>
        </w:rPr>
      </w:pPr>
    </w:p>
    <w:p w:rsidR="00743DA6" w:rsidRDefault="00743DA6">
      <w:pPr>
        <w:jc w:val="both"/>
        <w:rPr>
          <w:b/>
          <w:bCs/>
          <w:sz w:val="21"/>
          <w:szCs w:val="21"/>
        </w:rPr>
      </w:pPr>
    </w:p>
    <w:p w:rsidR="00743DA6" w:rsidRDefault="00D95D19">
      <w:pPr>
        <w:jc w:val="both"/>
        <w:rPr>
          <w:b/>
          <w:bCs/>
          <w:color w:val="000000"/>
          <w:sz w:val="21"/>
          <w:szCs w:val="21"/>
        </w:rPr>
      </w:pPr>
      <w:r>
        <w:rPr>
          <w:b/>
          <w:bCs/>
          <w:color w:val="000000"/>
          <w:sz w:val="21"/>
          <w:szCs w:val="21"/>
        </w:rPr>
        <w:t>__________________________</w:t>
      </w:r>
    </w:p>
    <w:p w:rsidR="00743DA6" w:rsidRDefault="00D95D19">
      <w:pPr>
        <w:jc w:val="both"/>
        <w:rPr>
          <w:b/>
          <w:bCs/>
          <w:color w:val="000000"/>
          <w:sz w:val="21"/>
          <w:szCs w:val="21"/>
        </w:rPr>
      </w:pPr>
      <w:r>
        <w:rPr>
          <w:b/>
          <w:bCs/>
          <w:sz w:val="21"/>
          <w:szCs w:val="21"/>
        </w:rPr>
        <w:t>Donka Atanassova Iakimova</w:t>
      </w:r>
      <w:r>
        <w:rPr>
          <w:b/>
          <w:bCs/>
          <w:color w:val="000000"/>
          <w:sz w:val="21"/>
          <w:szCs w:val="21"/>
        </w:rPr>
        <w:t xml:space="preserve"> </w:t>
      </w:r>
    </w:p>
    <w:p w:rsidR="00743DA6" w:rsidRDefault="00D95D19">
      <w:pPr>
        <w:jc w:val="both"/>
        <w:rPr>
          <w:color w:val="000000"/>
          <w:sz w:val="21"/>
          <w:szCs w:val="21"/>
        </w:rPr>
      </w:pPr>
      <w:r>
        <w:rPr>
          <w:color w:val="000000"/>
          <w:sz w:val="21"/>
          <w:szCs w:val="21"/>
        </w:rPr>
        <w:t xml:space="preserve">Concejala </w:t>
      </w:r>
      <w:r>
        <w:rPr>
          <w:sz w:val="21"/>
          <w:szCs w:val="21"/>
        </w:rPr>
        <w:t>Coordinadora</w:t>
      </w:r>
      <w:r>
        <w:rPr>
          <w:color w:val="000000"/>
          <w:sz w:val="21"/>
          <w:szCs w:val="21"/>
        </w:rPr>
        <w:t xml:space="preserve"> Ponente </w:t>
      </w:r>
    </w:p>
    <w:p w:rsidR="00743DA6" w:rsidRDefault="00743DA6">
      <w:pPr>
        <w:jc w:val="both"/>
        <w:rPr>
          <w:sz w:val="21"/>
          <w:szCs w:val="21"/>
        </w:rPr>
      </w:pPr>
    </w:p>
    <w:p w:rsidR="00743DA6" w:rsidRDefault="00743DA6">
      <w:pPr>
        <w:jc w:val="both"/>
        <w:rPr>
          <w:sz w:val="21"/>
          <w:szCs w:val="21"/>
        </w:rPr>
      </w:pPr>
    </w:p>
    <w:p w:rsidR="00743DA6" w:rsidRDefault="00743DA6">
      <w:pPr>
        <w:jc w:val="both"/>
        <w:rPr>
          <w:sz w:val="21"/>
          <w:szCs w:val="21"/>
        </w:rPr>
      </w:pPr>
    </w:p>
    <w:p w:rsidR="00743DA6" w:rsidRDefault="00743DA6">
      <w:pPr>
        <w:jc w:val="both"/>
        <w:rPr>
          <w:sz w:val="21"/>
          <w:szCs w:val="21"/>
        </w:rPr>
      </w:pPr>
    </w:p>
    <w:p w:rsidR="00743DA6" w:rsidRDefault="00743DA6">
      <w:pPr>
        <w:jc w:val="both"/>
        <w:rPr>
          <w:sz w:val="21"/>
          <w:szCs w:val="21"/>
        </w:rPr>
      </w:pPr>
    </w:p>
    <w:p w:rsidR="00743DA6" w:rsidRDefault="00743DA6">
      <w:pPr>
        <w:jc w:val="both"/>
        <w:rPr>
          <w:sz w:val="21"/>
          <w:szCs w:val="21"/>
        </w:rPr>
      </w:pPr>
    </w:p>
    <w:p w:rsidR="00743DA6" w:rsidRDefault="00743DA6">
      <w:pPr>
        <w:rPr>
          <w:sz w:val="21"/>
          <w:szCs w:val="21"/>
        </w:rPr>
      </w:pPr>
    </w:p>
    <w:sectPr w:rsidR="00743DA6">
      <w:headerReference w:type="default" r:id="rId71"/>
      <w:footerReference w:type="even" r:id="rId72"/>
      <w:footerReference w:type="default" r:id="rId73"/>
      <w:pgSz w:w="12242" w:h="15842"/>
      <w:pgMar w:top="1701" w:right="1701" w:bottom="1418"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5D19" w:rsidRDefault="00D95D19">
      <w:r>
        <w:separator/>
      </w:r>
    </w:p>
  </w:endnote>
  <w:endnote w:type="continuationSeparator" w:id="0">
    <w:p w:rsidR="00D95D19" w:rsidRDefault="00D95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066CC5BA-6E9B-4C04-9385-6C34E59CA30A}"/>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C1582D8D-0933-4A27-AC6D-6F7B8237A5BA}"/>
    <w:embedBold r:id="rId3" w:fontKey="{D58A4AA2-FF84-4323-B7E6-7EA56A437D71}"/>
    <w:embedBoldItalic r:id="rId4" w:fontKey="{542A4935-2BFC-4E5B-8113-EE56A01ABE8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A4212B48-26A5-4313-B607-C4C2607F2FC8}"/>
    <w:embedBold r:id="rId6" w:fontKey="{3C1CED1B-B355-49A9-8DF0-AF71DD22912B}"/>
    <w:embedBoldItalic r:id="rId7" w:fontKey="{DA87007F-54E8-44C1-80A7-E44EF85A0747}"/>
  </w:font>
  <w:font w:name="Tahoma">
    <w:panose1 w:val="020B0604030504040204"/>
    <w:charset w:val="00"/>
    <w:family w:val="swiss"/>
    <w:pitch w:val="variable"/>
    <w:sig w:usb0="E1002EFF" w:usb1="C000605B" w:usb2="00000029" w:usb3="00000000" w:csb0="000101FF" w:csb1="00000000"/>
    <w:embedRegular r:id="rId8" w:fontKey="{09169AE0-C8D8-4FA8-960B-F11419C31723}"/>
  </w:font>
  <w:font w:name="¹Å">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embedRegular r:id="rId9" w:fontKey="{0B74A71E-4BE1-43B1-9D65-E37AB27C54B6}"/>
  </w:font>
  <w:font w:name="Arial Unicode MS">
    <w:altName w:val="Arial"/>
    <w:panose1 w:val="020B0604020202020204"/>
    <w:charset w:val="00"/>
    <w:family w:val="auto"/>
    <w:pitch w:val="default"/>
  </w:font>
  <w:font w:name="Wingdings">
    <w:panose1 w:val="05000000000000000000"/>
    <w:charset w:val="02"/>
    <w:family w:val="auto"/>
    <w:pitch w:val="variable"/>
    <w:sig w:usb0="00000000" w:usb1="10000000" w:usb2="00000000" w:usb3="00000000" w:csb0="80000000" w:csb1="00000000"/>
  </w:font>
  <w:font w:name="Liberation Sans">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pitch w:val="variable"/>
    <w:sig w:usb0="00002000" w:usb1="00000000" w:usb2="00000000" w:usb3="00000000" w:csb0="00000000" w:csb1="00000000"/>
  </w:font>
  <w:font w:name="Roboto">
    <w:charset w:val="00"/>
    <w:family w:val="auto"/>
    <w:pitch w:val="default"/>
    <w:embedRegular r:id="rId10" w:fontKey="{A7BC24B7-30B8-48E4-BDAB-818656955EE1}"/>
    <w:embedBold r:id="rId11" w:fontKey="{50FE6185-DD47-4FDB-B69D-B2DD3951C13A}"/>
  </w:font>
  <w:font w:name="Apto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3DA6" w:rsidRDefault="00D95D19">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end"/>
    </w:r>
  </w:p>
  <w:p w:rsidR="00743DA6" w:rsidRDefault="00743DA6">
    <w:pPr>
      <w:pBdr>
        <w:top w:val="nil"/>
        <w:left w:val="nil"/>
        <w:bottom w:val="nil"/>
        <w:right w:val="nil"/>
        <w:between w:val="nil"/>
      </w:pBdr>
      <w:tabs>
        <w:tab w:val="center" w:pos="4252"/>
        <w:tab w:val="right" w:pos="8504"/>
      </w:tabs>
      <w:ind w:right="360"/>
      <w:rPr>
        <w:color w:val="000000"/>
      </w:rPr>
    </w:pPr>
  </w:p>
  <w:p w:rsidR="00743DA6" w:rsidRDefault="00743DA6"/>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3DA6" w:rsidRDefault="00743DA6">
    <w:pPr>
      <w:jc w:val="both"/>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5D19" w:rsidRDefault="00D95D19">
      <w:r>
        <w:separator/>
      </w:r>
    </w:p>
  </w:footnote>
  <w:footnote w:type="continuationSeparator" w:id="0">
    <w:p w:rsidR="00D95D19" w:rsidRDefault="00D95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3DA6" w:rsidRDefault="00743DA6">
    <w:pPr>
      <w:widowControl w:val="0"/>
      <w:pBdr>
        <w:top w:val="nil"/>
        <w:left w:val="nil"/>
        <w:bottom w:val="nil"/>
        <w:right w:val="nil"/>
        <w:between w:val="nil"/>
      </w:pBdr>
      <w:spacing w:line="276" w:lineRule="auto"/>
      <w:rPr>
        <w:rFonts w:ascii="Calibri" w:eastAsia="Calibri" w:hAnsi="Calibri" w:cs="Calibri"/>
        <w:color w:val="000000"/>
        <w:sz w:val="18"/>
        <w:szCs w:val="18"/>
      </w:rPr>
    </w:pPr>
  </w:p>
  <w:tbl>
    <w:tblPr>
      <w:tblStyle w:val="afffffffff4"/>
      <w:tblW w:w="8830" w:type="dxa"/>
      <w:jc w:val="center"/>
      <w:tblLayout w:type="fixed"/>
      <w:tblLook w:val="0000" w:firstRow="0" w:lastRow="0" w:firstColumn="0" w:lastColumn="0" w:noHBand="0" w:noVBand="0"/>
    </w:tblPr>
    <w:tblGrid>
      <w:gridCol w:w="2361"/>
      <w:gridCol w:w="4235"/>
      <w:gridCol w:w="2234"/>
    </w:tblGrid>
    <w:tr w:rsidR="00743DA6">
      <w:trPr>
        <w:trHeight w:val="454"/>
        <w:jc w:val="center"/>
      </w:trPr>
      <w:tc>
        <w:tcPr>
          <w:tcW w:w="2361" w:type="dxa"/>
          <w:vMerge w:val="restart"/>
          <w:tcBorders>
            <w:top w:val="single" w:sz="4" w:space="0" w:color="000000"/>
            <w:left w:val="single" w:sz="4" w:space="0" w:color="000000"/>
            <w:right w:val="single" w:sz="4" w:space="0" w:color="000000"/>
          </w:tcBorders>
          <w:vAlign w:val="center"/>
        </w:tcPr>
        <w:p w:rsidR="00743DA6" w:rsidRDefault="00D95D19">
          <w:pPr>
            <w:jc w:val="center"/>
            <w:rPr>
              <w:sz w:val="16"/>
              <w:szCs w:val="16"/>
            </w:rPr>
          </w:pPr>
          <w:r>
            <w:rPr>
              <w:noProof/>
              <w:lang w:val="es-CO"/>
            </w:rPr>
            <w:drawing>
              <wp:anchor distT="0" distB="0" distL="0" distR="0" simplePos="0" relativeHeight="251658240" behindDoc="1" locked="0" layoutInCell="1" hidden="0" allowOverlap="1">
                <wp:simplePos x="0" y="0"/>
                <wp:positionH relativeFrom="column">
                  <wp:posOffset>333375</wp:posOffset>
                </wp:positionH>
                <wp:positionV relativeFrom="paragraph">
                  <wp:posOffset>36830</wp:posOffset>
                </wp:positionV>
                <wp:extent cx="752475" cy="619125"/>
                <wp:effectExtent l="0" t="0" r="0" b="0"/>
                <wp:wrapNone/>
                <wp:docPr id="2127399608"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
                        <a:srcRect/>
                        <a:stretch>
                          <a:fillRect/>
                        </a:stretch>
                      </pic:blipFill>
                      <pic:spPr>
                        <a:xfrm>
                          <a:off x="0" y="0"/>
                          <a:ext cx="752475" cy="619125"/>
                        </a:xfrm>
                        <a:prstGeom prst="rect">
                          <a:avLst/>
                        </a:prstGeom>
                        <a:ln/>
                      </pic:spPr>
                    </pic:pic>
                  </a:graphicData>
                </a:graphic>
              </wp:anchor>
            </w:drawing>
          </w:r>
        </w:p>
      </w:tc>
      <w:tc>
        <w:tcPr>
          <w:tcW w:w="4235" w:type="dxa"/>
          <w:tcBorders>
            <w:top w:val="single" w:sz="4" w:space="0" w:color="000000"/>
            <w:left w:val="nil"/>
            <w:bottom w:val="single" w:sz="4" w:space="0" w:color="000000"/>
            <w:right w:val="single" w:sz="4" w:space="0" w:color="000000"/>
          </w:tcBorders>
          <w:vAlign w:val="center"/>
        </w:tcPr>
        <w:p w:rsidR="00743DA6" w:rsidRDefault="00D95D19">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rsidR="00743DA6" w:rsidRDefault="00D95D19">
          <w:pPr>
            <w:rPr>
              <w:sz w:val="16"/>
              <w:szCs w:val="16"/>
            </w:rPr>
          </w:pPr>
          <w:r>
            <w:rPr>
              <w:sz w:val="16"/>
              <w:szCs w:val="16"/>
            </w:rPr>
            <w:t>CÓDIGO</w:t>
          </w:r>
          <w:r>
            <w:rPr>
              <w:color w:val="3366FF"/>
              <w:sz w:val="16"/>
              <w:szCs w:val="16"/>
            </w:rPr>
            <w:t xml:space="preserve">: </w:t>
          </w:r>
          <w:r>
            <w:rPr>
              <w:sz w:val="16"/>
              <w:szCs w:val="16"/>
            </w:rPr>
            <w:t>GNV-FO-002</w:t>
          </w:r>
        </w:p>
      </w:tc>
    </w:tr>
    <w:tr w:rsidR="00743DA6">
      <w:trPr>
        <w:trHeight w:val="454"/>
        <w:jc w:val="center"/>
      </w:trPr>
      <w:tc>
        <w:tcPr>
          <w:tcW w:w="2361" w:type="dxa"/>
          <w:vMerge/>
          <w:tcBorders>
            <w:top w:val="single" w:sz="4" w:space="0" w:color="000000"/>
            <w:left w:val="single" w:sz="4" w:space="0" w:color="000000"/>
            <w:right w:val="single" w:sz="4" w:space="0" w:color="000000"/>
          </w:tcBorders>
          <w:vAlign w:val="center"/>
        </w:tcPr>
        <w:p w:rsidR="00743DA6" w:rsidRDefault="00743DA6">
          <w:pPr>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rsidR="00743DA6" w:rsidRDefault="00D95D19">
          <w:pPr>
            <w:jc w:val="center"/>
            <w:rPr>
              <w:sz w:val="20"/>
              <w:szCs w:val="20"/>
            </w:rPr>
          </w:pPr>
          <w:r>
            <w:rPr>
              <w:sz w:val="20"/>
              <w:szCs w:val="20"/>
            </w:rPr>
            <w:t>PRESENTACIÓN PONENCIAS</w:t>
          </w:r>
        </w:p>
      </w:tc>
      <w:tc>
        <w:tcPr>
          <w:tcW w:w="2234" w:type="dxa"/>
          <w:tcBorders>
            <w:top w:val="single" w:sz="4" w:space="0" w:color="000000"/>
            <w:left w:val="nil"/>
            <w:bottom w:val="single" w:sz="4" w:space="0" w:color="000000"/>
            <w:right w:val="single" w:sz="4" w:space="0" w:color="000000"/>
          </w:tcBorders>
          <w:vAlign w:val="center"/>
        </w:tcPr>
        <w:p w:rsidR="00743DA6" w:rsidRDefault="00D95D19">
          <w:pPr>
            <w:rPr>
              <w:sz w:val="16"/>
              <w:szCs w:val="16"/>
            </w:rPr>
          </w:pPr>
          <w:r>
            <w:rPr>
              <w:sz w:val="16"/>
              <w:szCs w:val="16"/>
            </w:rPr>
            <w:t>VERSIÓN:    01</w:t>
          </w:r>
        </w:p>
      </w:tc>
    </w:tr>
    <w:tr w:rsidR="00743DA6">
      <w:trPr>
        <w:trHeight w:val="70"/>
        <w:jc w:val="center"/>
      </w:trPr>
      <w:tc>
        <w:tcPr>
          <w:tcW w:w="2361" w:type="dxa"/>
          <w:vMerge/>
          <w:tcBorders>
            <w:top w:val="single" w:sz="4" w:space="0" w:color="000000"/>
            <w:left w:val="single" w:sz="4" w:space="0" w:color="000000"/>
            <w:right w:val="single" w:sz="4" w:space="0" w:color="000000"/>
          </w:tcBorders>
          <w:vAlign w:val="center"/>
        </w:tcPr>
        <w:p w:rsidR="00743DA6" w:rsidRDefault="00743DA6">
          <w:pPr>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rsidR="00743DA6" w:rsidRDefault="00743DA6">
          <w:pPr>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rsidR="00743DA6" w:rsidRDefault="00D95D19">
          <w:pPr>
            <w:rPr>
              <w:sz w:val="16"/>
              <w:szCs w:val="16"/>
            </w:rPr>
          </w:pPr>
          <w:r>
            <w:rPr>
              <w:sz w:val="16"/>
              <w:szCs w:val="16"/>
            </w:rPr>
            <w:t>FECHA: 14-Nov-2019</w:t>
          </w:r>
        </w:p>
      </w:tc>
    </w:tr>
  </w:tbl>
  <w:p w:rsidR="00743DA6" w:rsidRDefault="00743DA6">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90D84"/>
    <w:multiLevelType w:val="multilevel"/>
    <w:tmpl w:val="87EA8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9540E5"/>
    <w:multiLevelType w:val="multilevel"/>
    <w:tmpl w:val="AC6400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F50A34"/>
    <w:multiLevelType w:val="multilevel"/>
    <w:tmpl w:val="596CF9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78B211A"/>
    <w:multiLevelType w:val="multilevel"/>
    <w:tmpl w:val="4170E4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8AD7940"/>
    <w:multiLevelType w:val="multilevel"/>
    <w:tmpl w:val="9BE07D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924619D"/>
    <w:multiLevelType w:val="multilevel"/>
    <w:tmpl w:val="0E22A6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DFA629E"/>
    <w:multiLevelType w:val="multilevel"/>
    <w:tmpl w:val="049649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0ED12CD3"/>
    <w:multiLevelType w:val="multilevel"/>
    <w:tmpl w:val="9612AE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F7E750F"/>
    <w:multiLevelType w:val="multilevel"/>
    <w:tmpl w:val="284660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28248A6"/>
    <w:multiLevelType w:val="multilevel"/>
    <w:tmpl w:val="88360A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39209E5"/>
    <w:multiLevelType w:val="multilevel"/>
    <w:tmpl w:val="71902C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87C7CC2"/>
    <w:multiLevelType w:val="multilevel"/>
    <w:tmpl w:val="C98E0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89C504F"/>
    <w:multiLevelType w:val="multilevel"/>
    <w:tmpl w:val="41AA73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8AA620E"/>
    <w:multiLevelType w:val="multilevel"/>
    <w:tmpl w:val="19A2B6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193113E1"/>
    <w:multiLevelType w:val="multilevel"/>
    <w:tmpl w:val="9998E2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96160DA"/>
    <w:multiLevelType w:val="multilevel"/>
    <w:tmpl w:val="C21EA8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A01448F"/>
    <w:multiLevelType w:val="multilevel"/>
    <w:tmpl w:val="EF24D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B7919BB"/>
    <w:multiLevelType w:val="multilevel"/>
    <w:tmpl w:val="B546CE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1C0B11E1"/>
    <w:multiLevelType w:val="multilevel"/>
    <w:tmpl w:val="3286CF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C147109"/>
    <w:multiLevelType w:val="multilevel"/>
    <w:tmpl w:val="8242C7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C8F5189"/>
    <w:multiLevelType w:val="multilevel"/>
    <w:tmpl w:val="995A9F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1D230889"/>
    <w:multiLevelType w:val="multilevel"/>
    <w:tmpl w:val="52E69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E0319CF"/>
    <w:multiLevelType w:val="multilevel"/>
    <w:tmpl w:val="AF4A2F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E7A66F8"/>
    <w:multiLevelType w:val="multilevel"/>
    <w:tmpl w:val="0E80C9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EC947C8"/>
    <w:multiLevelType w:val="multilevel"/>
    <w:tmpl w:val="F4CCBA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F540C0F"/>
    <w:multiLevelType w:val="multilevel"/>
    <w:tmpl w:val="A3B49F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00529DE"/>
    <w:multiLevelType w:val="multilevel"/>
    <w:tmpl w:val="BC825680"/>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20D83E67"/>
    <w:multiLevelType w:val="multilevel"/>
    <w:tmpl w:val="4CA27B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15F5F69"/>
    <w:multiLevelType w:val="multilevel"/>
    <w:tmpl w:val="2048C4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3135303"/>
    <w:multiLevelType w:val="multilevel"/>
    <w:tmpl w:val="D77652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24946B15"/>
    <w:multiLevelType w:val="multilevel"/>
    <w:tmpl w:val="842AC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7CC07C1"/>
    <w:multiLevelType w:val="multilevel"/>
    <w:tmpl w:val="5028990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15:restartNumberingAfterBreak="0">
    <w:nsid w:val="28614ACD"/>
    <w:multiLevelType w:val="multilevel"/>
    <w:tmpl w:val="A210E9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E4B1C95"/>
    <w:multiLevelType w:val="multilevel"/>
    <w:tmpl w:val="942E37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E9F51EA"/>
    <w:multiLevelType w:val="multilevel"/>
    <w:tmpl w:val="760629B8"/>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2FAA4B26"/>
    <w:multiLevelType w:val="multilevel"/>
    <w:tmpl w:val="53289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063702A"/>
    <w:multiLevelType w:val="multilevel"/>
    <w:tmpl w:val="9CEECA0A"/>
    <w:lvl w:ilvl="0">
      <w:start w:val="1"/>
      <w:numFmt w:val="upperRoman"/>
      <w:lvlText w:val="%1."/>
      <w:lvlJc w:val="left"/>
      <w:pPr>
        <w:ind w:left="1004" w:hanging="720"/>
      </w:pPr>
      <w:rPr>
        <w:b/>
        <w:bCs/>
      </w:rPr>
    </w:lvl>
    <w:lvl w:ilvl="1">
      <w:start w:val="3"/>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7" w15:restartNumberingAfterBreak="0">
    <w:nsid w:val="3195528E"/>
    <w:multiLevelType w:val="multilevel"/>
    <w:tmpl w:val="C7581B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1EB3AF9"/>
    <w:multiLevelType w:val="multilevel"/>
    <w:tmpl w:val="38C688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9" w15:restartNumberingAfterBreak="0">
    <w:nsid w:val="36AE6FED"/>
    <w:multiLevelType w:val="multilevel"/>
    <w:tmpl w:val="36ACEA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B0736EE"/>
    <w:multiLevelType w:val="multilevel"/>
    <w:tmpl w:val="313888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E5F708A"/>
    <w:multiLevelType w:val="multilevel"/>
    <w:tmpl w:val="3CD62B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43AD0530"/>
    <w:multiLevelType w:val="multilevel"/>
    <w:tmpl w:val="4B927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5AE662C"/>
    <w:multiLevelType w:val="multilevel"/>
    <w:tmpl w:val="DF8A50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8256CEF"/>
    <w:multiLevelType w:val="multilevel"/>
    <w:tmpl w:val="D8A4A962"/>
    <w:lvl w:ilvl="0">
      <w:start w:val="1"/>
      <w:numFmt w:val="decimal"/>
      <w:lvlText w:val="%1."/>
      <w:lvlJc w:val="left"/>
      <w:pPr>
        <w:ind w:left="360" w:hanging="360"/>
      </w:pPr>
      <w:rPr>
        <w:b/>
        <w:bCs/>
        <w:color w:val="000000"/>
      </w:rPr>
    </w:lvl>
    <w:lvl w:ilvl="1">
      <w:start w:val="1"/>
      <w:numFmt w:val="decimal"/>
      <w:lvlText w:val="%1.%2"/>
      <w:lvlJc w:val="left"/>
      <w:pPr>
        <w:ind w:left="780" w:hanging="420"/>
      </w:pPr>
      <w:rPr>
        <w:b/>
        <w:bCs/>
      </w:rPr>
    </w:lvl>
    <w:lvl w:ilvl="2">
      <w:start w:val="1"/>
      <w:numFmt w:val="decimal"/>
      <w:lvlText w:val="%1.%2.%3"/>
      <w:lvlJc w:val="left"/>
      <w:pPr>
        <w:ind w:left="1440" w:hanging="720"/>
      </w:pPr>
    </w:lvl>
    <w:lvl w:ilvl="3">
      <w:start w:val="1"/>
      <w:numFmt w:val="decimalZero"/>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5" w15:restartNumberingAfterBreak="0">
    <w:nsid w:val="483C5F1C"/>
    <w:multiLevelType w:val="multilevel"/>
    <w:tmpl w:val="E6B8C9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4991087D"/>
    <w:multiLevelType w:val="multilevel"/>
    <w:tmpl w:val="9EFE1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F426CB8"/>
    <w:multiLevelType w:val="multilevel"/>
    <w:tmpl w:val="19F4E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51E50719"/>
    <w:multiLevelType w:val="multilevel"/>
    <w:tmpl w:val="0EC873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9" w15:restartNumberingAfterBreak="0">
    <w:nsid w:val="54CF5F21"/>
    <w:multiLevelType w:val="multilevel"/>
    <w:tmpl w:val="A23EC4AA"/>
    <w:lvl w:ilvl="0">
      <w:start w:val="1"/>
      <w:numFmt w:val="decimal"/>
      <w:lvlText w:val="%1."/>
      <w:lvlJc w:val="left"/>
      <w:pPr>
        <w:ind w:left="720" w:hanging="360"/>
      </w:pPr>
      <w:rPr>
        <w:b w:val="0"/>
        <w:bCs w:val="0"/>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75A5E45"/>
    <w:multiLevelType w:val="multilevel"/>
    <w:tmpl w:val="91D078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5A234875"/>
    <w:multiLevelType w:val="multilevel"/>
    <w:tmpl w:val="E7568C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5A5B14D6"/>
    <w:multiLevelType w:val="multilevel"/>
    <w:tmpl w:val="1EACF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BE47E49"/>
    <w:multiLevelType w:val="multilevel"/>
    <w:tmpl w:val="0448C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5D37529E"/>
    <w:multiLevelType w:val="multilevel"/>
    <w:tmpl w:val="6916CF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5E6D5647"/>
    <w:multiLevelType w:val="multilevel"/>
    <w:tmpl w:val="5D7E2D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5EEF39E9"/>
    <w:multiLevelType w:val="multilevel"/>
    <w:tmpl w:val="C0B2FE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5F7C5EAA"/>
    <w:multiLevelType w:val="multilevel"/>
    <w:tmpl w:val="B9EC230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634F135C"/>
    <w:multiLevelType w:val="multilevel"/>
    <w:tmpl w:val="B832F2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64334062"/>
    <w:multiLevelType w:val="multilevel"/>
    <w:tmpl w:val="7AF45E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6641060A"/>
    <w:multiLevelType w:val="multilevel"/>
    <w:tmpl w:val="B70E2F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67D6535B"/>
    <w:multiLevelType w:val="multilevel"/>
    <w:tmpl w:val="371824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685E206D"/>
    <w:multiLevelType w:val="multilevel"/>
    <w:tmpl w:val="7BBEC8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68AA0D66"/>
    <w:multiLevelType w:val="multilevel"/>
    <w:tmpl w:val="4B1253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692A3787"/>
    <w:multiLevelType w:val="multilevel"/>
    <w:tmpl w:val="DFAEBC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5" w15:restartNumberingAfterBreak="0">
    <w:nsid w:val="695B13E5"/>
    <w:multiLevelType w:val="multilevel"/>
    <w:tmpl w:val="F7A8711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6" w15:restartNumberingAfterBreak="0">
    <w:nsid w:val="70890756"/>
    <w:multiLevelType w:val="multilevel"/>
    <w:tmpl w:val="49DCF3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15:restartNumberingAfterBreak="0">
    <w:nsid w:val="71C02E2D"/>
    <w:multiLevelType w:val="multilevel"/>
    <w:tmpl w:val="52D8A4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25C08F1"/>
    <w:multiLevelType w:val="multilevel"/>
    <w:tmpl w:val="643E2B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732C27D4"/>
    <w:multiLevelType w:val="multilevel"/>
    <w:tmpl w:val="470884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15:restartNumberingAfterBreak="0">
    <w:nsid w:val="77973C6B"/>
    <w:multiLevelType w:val="multilevel"/>
    <w:tmpl w:val="39F84EA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1" w15:restartNumberingAfterBreak="0">
    <w:nsid w:val="7AD62EF4"/>
    <w:multiLevelType w:val="multilevel"/>
    <w:tmpl w:val="FE2A30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2" w15:restartNumberingAfterBreak="0">
    <w:nsid w:val="7C2F792E"/>
    <w:multiLevelType w:val="multilevel"/>
    <w:tmpl w:val="593A75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15:restartNumberingAfterBreak="0">
    <w:nsid w:val="7CED6620"/>
    <w:multiLevelType w:val="multilevel"/>
    <w:tmpl w:val="699051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7D3C44FF"/>
    <w:multiLevelType w:val="multilevel"/>
    <w:tmpl w:val="5DA4F4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5"/>
  </w:num>
  <w:num w:numId="2">
    <w:abstractNumId w:val="72"/>
  </w:num>
  <w:num w:numId="3">
    <w:abstractNumId w:val="62"/>
  </w:num>
  <w:num w:numId="4">
    <w:abstractNumId w:val="22"/>
  </w:num>
  <w:num w:numId="5">
    <w:abstractNumId w:val="38"/>
  </w:num>
  <w:num w:numId="6">
    <w:abstractNumId w:val="60"/>
  </w:num>
  <w:num w:numId="7">
    <w:abstractNumId w:val="47"/>
  </w:num>
  <w:num w:numId="8">
    <w:abstractNumId w:val="27"/>
  </w:num>
  <w:num w:numId="9">
    <w:abstractNumId w:val="68"/>
  </w:num>
  <w:num w:numId="10">
    <w:abstractNumId w:val="10"/>
  </w:num>
  <w:num w:numId="11">
    <w:abstractNumId w:val="42"/>
  </w:num>
  <w:num w:numId="12">
    <w:abstractNumId w:val="7"/>
  </w:num>
  <w:num w:numId="13">
    <w:abstractNumId w:val="13"/>
  </w:num>
  <w:num w:numId="14">
    <w:abstractNumId w:val="11"/>
  </w:num>
  <w:num w:numId="15">
    <w:abstractNumId w:val="30"/>
  </w:num>
  <w:num w:numId="16">
    <w:abstractNumId w:val="21"/>
  </w:num>
  <w:num w:numId="17">
    <w:abstractNumId w:val="70"/>
  </w:num>
  <w:num w:numId="18">
    <w:abstractNumId w:val="0"/>
  </w:num>
  <w:num w:numId="19">
    <w:abstractNumId w:val="19"/>
  </w:num>
  <w:num w:numId="20">
    <w:abstractNumId w:val="51"/>
  </w:num>
  <w:num w:numId="21">
    <w:abstractNumId w:val="58"/>
  </w:num>
  <w:num w:numId="22">
    <w:abstractNumId w:val="29"/>
  </w:num>
  <w:num w:numId="23">
    <w:abstractNumId w:val="34"/>
  </w:num>
  <w:num w:numId="24">
    <w:abstractNumId w:val="55"/>
  </w:num>
  <w:num w:numId="25">
    <w:abstractNumId w:val="71"/>
  </w:num>
  <w:num w:numId="26">
    <w:abstractNumId w:val="12"/>
  </w:num>
  <w:num w:numId="27">
    <w:abstractNumId w:val="23"/>
  </w:num>
  <w:num w:numId="28">
    <w:abstractNumId w:val="36"/>
  </w:num>
  <w:num w:numId="29">
    <w:abstractNumId w:val="44"/>
  </w:num>
  <w:num w:numId="30">
    <w:abstractNumId w:val="57"/>
  </w:num>
  <w:num w:numId="31">
    <w:abstractNumId w:val="49"/>
  </w:num>
  <w:num w:numId="32">
    <w:abstractNumId w:val="24"/>
  </w:num>
  <w:num w:numId="33">
    <w:abstractNumId w:val="6"/>
  </w:num>
  <w:num w:numId="34">
    <w:abstractNumId w:val="59"/>
  </w:num>
  <w:num w:numId="35">
    <w:abstractNumId w:val="41"/>
  </w:num>
  <w:num w:numId="36">
    <w:abstractNumId w:val="45"/>
  </w:num>
  <w:num w:numId="37">
    <w:abstractNumId w:val="39"/>
  </w:num>
  <w:num w:numId="38">
    <w:abstractNumId w:val="50"/>
  </w:num>
  <w:num w:numId="39">
    <w:abstractNumId w:val="25"/>
  </w:num>
  <w:num w:numId="40">
    <w:abstractNumId w:val="2"/>
  </w:num>
  <w:num w:numId="41">
    <w:abstractNumId w:val="3"/>
  </w:num>
  <w:num w:numId="42">
    <w:abstractNumId w:val="48"/>
  </w:num>
  <w:num w:numId="43">
    <w:abstractNumId w:val="64"/>
  </w:num>
  <w:num w:numId="44">
    <w:abstractNumId w:val="28"/>
  </w:num>
  <w:num w:numId="45">
    <w:abstractNumId w:val="67"/>
  </w:num>
  <w:num w:numId="46">
    <w:abstractNumId w:val="69"/>
  </w:num>
  <w:num w:numId="47">
    <w:abstractNumId w:val="26"/>
  </w:num>
  <w:num w:numId="48">
    <w:abstractNumId w:val="74"/>
  </w:num>
  <w:num w:numId="49">
    <w:abstractNumId w:val="66"/>
  </w:num>
  <w:num w:numId="50">
    <w:abstractNumId w:val="46"/>
  </w:num>
  <w:num w:numId="51">
    <w:abstractNumId w:val="31"/>
  </w:num>
  <w:num w:numId="52">
    <w:abstractNumId w:val="43"/>
  </w:num>
  <w:num w:numId="53">
    <w:abstractNumId w:val="54"/>
  </w:num>
  <w:num w:numId="54">
    <w:abstractNumId w:val="32"/>
  </w:num>
  <w:num w:numId="55">
    <w:abstractNumId w:val="65"/>
  </w:num>
  <w:num w:numId="56">
    <w:abstractNumId w:val="53"/>
  </w:num>
  <w:num w:numId="57">
    <w:abstractNumId w:val="1"/>
  </w:num>
  <w:num w:numId="58">
    <w:abstractNumId w:val="20"/>
  </w:num>
  <w:num w:numId="59">
    <w:abstractNumId w:val="33"/>
  </w:num>
  <w:num w:numId="60">
    <w:abstractNumId w:val="18"/>
  </w:num>
  <w:num w:numId="61">
    <w:abstractNumId w:val="73"/>
  </w:num>
  <w:num w:numId="62">
    <w:abstractNumId w:val="16"/>
  </w:num>
  <w:num w:numId="63">
    <w:abstractNumId w:val="61"/>
  </w:num>
  <w:num w:numId="64">
    <w:abstractNumId w:val="35"/>
  </w:num>
  <w:num w:numId="65">
    <w:abstractNumId w:val="17"/>
  </w:num>
  <w:num w:numId="66">
    <w:abstractNumId w:val="9"/>
  </w:num>
  <w:num w:numId="67">
    <w:abstractNumId w:val="14"/>
  </w:num>
  <w:num w:numId="68">
    <w:abstractNumId w:val="40"/>
  </w:num>
  <w:num w:numId="69">
    <w:abstractNumId w:val="15"/>
  </w:num>
  <w:num w:numId="70">
    <w:abstractNumId w:val="56"/>
  </w:num>
  <w:num w:numId="71">
    <w:abstractNumId w:val="4"/>
  </w:num>
  <w:num w:numId="72">
    <w:abstractNumId w:val="37"/>
  </w:num>
  <w:num w:numId="73">
    <w:abstractNumId w:val="8"/>
  </w:num>
  <w:num w:numId="74">
    <w:abstractNumId w:val="52"/>
  </w:num>
  <w:num w:numId="75">
    <w:abstractNumId w:val="63"/>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3DA6"/>
    <w:rsid w:val="0043135B"/>
    <w:rsid w:val="00743DA6"/>
    <w:rsid w:val="00CB348A"/>
    <w:rsid w:val="00D95D1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CD9482C-D7EC-4CDB-B1A9-6FD2F0B168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jc w:val="center"/>
      <w:outlineLvl w:val="0"/>
    </w:pPr>
    <w:rPr>
      <w:rFonts w:ascii="Times New Roman" w:eastAsia="Times New Roman" w:hAnsi="Times New Roman" w:cs="Times New Roman"/>
      <w:color w:val="000000"/>
    </w:rPr>
  </w:style>
  <w:style w:type="paragraph" w:styleId="Ttulo2">
    <w:name w:val="heading 2"/>
    <w:basedOn w:val="Normal"/>
    <w:next w:val="Normal"/>
    <w:pPr>
      <w:keepNext/>
      <w:outlineLvl w:val="1"/>
    </w:pPr>
    <w:rPr>
      <w:rFonts w:ascii="Times New Roman" w:eastAsia="Times New Roman" w:hAnsi="Times New Roman" w:cs="Times New Roman"/>
      <w:color w:val="000000"/>
    </w:rPr>
  </w:style>
  <w:style w:type="paragraph" w:styleId="Ttulo3">
    <w:name w:val="heading 3"/>
    <w:basedOn w:val="Normal"/>
    <w:next w:val="Normal"/>
    <w:pPr>
      <w:keepNext/>
      <w:keepLines/>
      <w:spacing w:before="40"/>
      <w:outlineLvl w:val="2"/>
    </w:pPr>
    <w:rPr>
      <w:rFonts w:ascii="Cambria" w:eastAsia="Cambria" w:hAnsi="Cambria" w:cs="Cambria"/>
      <w:color w:val="243F61"/>
    </w:rPr>
  </w:style>
  <w:style w:type="paragraph" w:styleId="Ttulo4">
    <w:name w:val="heading 4"/>
    <w:basedOn w:val="Normal"/>
    <w:next w:val="Normal"/>
    <w:pPr>
      <w:keepNext/>
      <w:spacing w:before="240" w:after="60"/>
      <w:outlineLvl w:val="3"/>
    </w:pPr>
    <w:rPr>
      <w:rFonts w:ascii="Times New Roman" w:eastAsia="Times New Roman" w:hAnsi="Times New Roman" w:cs="Times New Roman"/>
      <w:b/>
      <w:bCs/>
      <w:color w:val="000000"/>
      <w:sz w:val="28"/>
      <w:szCs w:val="28"/>
    </w:rPr>
  </w:style>
  <w:style w:type="paragraph" w:styleId="Ttulo5">
    <w:name w:val="heading 5"/>
    <w:basedOn w:val="Normal"/>
    <w:next w:val="Normal"/>
    <w:pPr>
      <w:keepNext/>
      <w:keepLines/>
      <w:spacing w:before="200"/>
      <w:outlineLvl w:val="4"/>
    </w:pPr>
    <w:rPr>
      <w:rFonts w:ascii="Cambria" w:eastAsia="Cambria" w:hAnsi="Cambria" w:cs="Cambria"/>
      <w:color w:val="243F60"/>
    </w:rPr>
  </w:style>
  <w:style w:type="paragraph" w:styleId="Ttulo6">
    <w:name w:val="heading 6"/>
    <w:basedOn w:val="Normal"/>
    <w:next w:val="Normal"/>
    <w:pPr>
      <w:keepNext/>
      <w:outlineLvl w:val="5"/>
    </w:pPr>
    <w:rPr>
      <w:rFonts w:ascii="Calibri" w:eastAsia="Calibri" w:hAnsi="Calibri" w:cs="Calibri"/>
      <w:b/>
      <w:bCs/>
      <w:color w:val="000000"/>
      <w:sz w:val="20"/>
      <w:szCs w:val="20"/>
    </w:rPr>
  </w:style>
  <w:style w:type="paragraph" w:styleId="Ttulo7">
    <w:name w:val="heading 7"/>
    <w:basedOn w:val="Normal"/>
    <w:next w:val="Normal"/>
    <w:link w:val="Ttulo7Car"/>
    <w:uiPriority w:val="1"/>
    <w:unhideWhenUsed/>
    <w:qFormat/>
    <w:locked/>
    <w:rsid w:val="006A37F8"/>
    <w:pPr>
      <w:suppressAutoHyphens/>
      <w:spacing w:before="240" w:after="60"/>
      <w:outlineLvl w:val="6"/>
    </w:pPr>
    <w:rPr>
      <w:rFonts w:asciiTheme="minorHAnsi" w:eastAsiaTheme="minorEastAsia" w:hAnsiTheme="minorHAnsi" w:cstheme="minorBidi"/>
      <w:lang w:val="es-ES_tradnl"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spacing w:before="240" w:after="60"/>
      <w:jc w:val="center"/>
    </w:pPr>
    <w:rPr>
      <w:rFonts w:ascii="Cambria" w:eastAsia="Cambria" w:hAnsi="Cambria" w:cs="Cambria"/>
      <w:b/>
      <w:bCs/>
      <w:color w:val="000000"/>
      <w:sz w:val="32"/>
      <w:szCs w:val="32"/>
    </w:rPr>
  </w:style>
  <w:style w:type="table" w:customStyle="1" w:styleId="TableNormal0">
    <w:name w:val="TableNormal"/>
    <w:tblPr>
      <w:tblCellMar>
        <w:top w:w="100" w:type="dxa"/>
        <w:left w:w="100" w:type="dxa"/>
        <w:bottom w:w="100" w:type="dxa"/>
        <w:right w:w="100" w:type="dxa"/>
      </w:tblCellMar>
    </w:tblPr>
  </w:style>
  <w:style w:type="character" w:customStyle="1" w:styleId="Ttulo1Car">
    <w:name w:val="Título 1 Car"/>
    <w:basedOn w:val="Fuentedeprrafopredeter"/>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uiPriority w:val="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uiPriority w:val="99"/>
    <w:locked/>
    <w:rsid w:val="00BD4F10"/>
    <w:rPr>
      <w:rFonts w:cs="Times New Roman"/>
      <w:b/>
      <w:sz w:val="28"/>
      <w:lang w:val="es-ES" w:eastAsia="es-ES"/>
    </w:rPr>
  </w:style>
  <w:style w:type="character" w:customStyle="1" w:styleId="Ttulo5Car">
    <w:name w:val="Título 5 Car"/>
    <w:basedOn w:val="Fuentedeprrafopredeter"/>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locked/>
    <w:rsid w:val="0078358A"/>
    <w:rPr>
      <w:rFonts w:ascii="Arial" w:hAnsi="Arial" w:cs="Times New Roman"/>
      <w:color w:val="000000"/>
      <w:sz w:val="20"/>
      <w:szCs w:val="20"/>
    </w:rPr>
  </w:style>
  <w:style w:type="paragraph" w:styleId="Piedepgina">
    <w:name w:val="footer"/>
    <w:basedOn w:val="Normal"/>
    <w:link w:val="PiedepginaCar"/>
    <w:uiPriority w:val="99"/>
    <w:rsid w:val="00AE7E3B"/>
    <w:pPr>
      <w:tabs>
        <w:tab w:val="center" w:pos="4252"/>
        <w:tab w:val="right" w:pos="8504"/>
      </w:tabs>
    </w:pPr>
  </w:style>
  <w:style w:type="character" w:customStyle="1" w:styleId="PiedepginaCar">
    <w:name w:val="Pie de página Car"/>
    <w:basedOn w:val="Fuentedeprrafopredeter"/>
    <w:link w:val="Piedepgina"/>
    <w:uiPriority w:val="99"/>
    <w:locked/>
    <w:rsid w:val="0078358A"/>
    <w:rPr>
      <w:rFonts w:ascii="Arial" w:hAnsi="Arial" w:cs="Times New Roman"/>
      <w:color w:val="000000"/>
      <w:sz w:val="20"/>
      <w:szCs w:val="20"/>
    </w:rPr>
  </w:style>
  <w:style w:type="paragraph" w:styleId="Textoindependiente">
    <w:name w:val="Body Text"/>
    <w:basedOn w:val="Normal"/>
    <w:link w:val="TextoindependienteCar"/>
    <w:uiPriority w:val="1"/>
    <w:qFormat/>
    <w:rsid w:val="00AE7E3B"/>
    <w:pPr>
      <w:jc w:val="both"/>
    </w:pPr>
    <w:rPr>
      <w:rFonts w:ascii="Times New Roman" w:hAnsi="Times New Roman"/>
      <w:lang w:val="es-MX"/>
    </w:rPr>
  </w:style>
  <w:style w:type="character" w:customStyle="1" w:styleId="TextoindependienteCar">
    <w:name w:val="Texto independiente Car"/>
    <w:basedOn w:val="Fuentedeprrafopredeter"/>
    <w:link w:val="Textoindependiente"/>
    <w:uiPriority w:val="1"/>
    <w:locked/>
    <w:rsid w:val="0078358A"/>
    <w:rPr>
      <w:rFonts w:ascii="Arial" w:hAnsi="Arial" w:cs="Times New Roman"/>
      <w:color w:val="000000"/>
      <w:sz w:val="20"/>
      <w:szCs w:val="20"/>
    </w:rPr>
  </w:style>
  <w:style w:type="character" w:styleId="Refdecomentario">
    <w:name w:val="annotation reference"/>
    <w:basedOn w:val="Fuentedeprrafopredeter"/>
    <w:uiPriority w:val="99"/>
    <w:rsid w:val="00AE7E3B"/>
    <w:rPr>
      <w:rFonts w:cs="Times New Roman"/>
      <w:sz w:val="16"/>
    </w:rPr>
  </w:style>
  <w:style w:type="paragraph" w:styleId="Textocomentario">
    <w:name w:val="annotation text"/>
    <w:basedOn w:val="Normal"/>
    <w:link w:val="TextocomentarioCar"/>
    <w:uiPriority w:val="99"/>
    <w:rsid w:val="00AE7E3B"/>
    <w:rPr>
      <w:sz w:val="20"/>
    </w:rPr>
  </w:style>
  <w:style w:type="character" w:customStyle="1" w:styleId="TextocomentarioCar">
    <w:name w:val="Texto comentario Car"/>
    <w:basedOn w:val="Fuentedeprrafopredeter"/>
    <w:link w:val="Textocomentario"/>
    <w:uiPriority w:val="99"/>
    <w:locked/>
    <w:rsid w:val="0078358A"/>
    <w:rPr>
      <w:rFonts w:ascii="Arial" w:hAnsi="Arial" w:cs="Times New Roman"/>
      <w:color w:val="000000"/>
      <w:sz w:val="20"/>
      <w:szCs w:val="20"/>
    </w:rPr>
  </w:style>
  <w:style w:type="table" w:styleId="Tablaconcuadrcula">
    <w:name w:val="Table Grid"/>
    <w:basedOn w:val="Tablanormal"/>
    <w:uiPriority w:val="3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rsid w:val="00DD7435"/>
    <w:rPr>
      <w:rFonts w:ascii="Tahoma" w:hAnsi="Tahoma" w:cs="Tahoma"/>
      <w:sz w:val="16"/>
      <w:szCs w:val="16"/>
    </w:rPr>
  </w:style>
  <w:style w:type="character" w:customStyle="1" w:styleId="TextodegloboCar">
    <w:name w:val="Texto de globo Car"/>
    <w:basedOn w:val="Fuentedeprrafopredeter"/>
    <w:link w:val="Textodeglobo"/>
    <w:uiPriority w:val="99"/>
    <w:locked/>
    <w:rsid w:val="0078358A"/>
    <w:rPr>
      <w:rFonts w:cs="Times New Roman"/>
      <w:color w:val="000000"/>
      <w:sz w:val="2"/>
    </w:rPr>
  </w:style>
  <w:style w:type="paragraph" w:styleId="Prrafodelista">
    <w:name w:val="List Paragraph"/>
    <w:aliases w:val="List1,LISTA,Párrafo de lista1,Párrafo de lista2,Ha,Resume Title,Bullet List,FooterText,numbered,List Paragraph1,Paragraphe de liste1,lp1,HOJA,Colorful List Accent 1,Colorful List - Accent 11,titulo 3,Colorful List - Accent 111,Bullets"/>
    <w:basedOn w:val="Normal"/>
    <w:link w:val="PrrafodelistaCar"/>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character" w:styleId="Textoennegrita">
    <w:name w:val="Strong"/>
    <w:basedOn w:val="Fuentedeprrafopredeter"/>
    <w:uiPriority w:val="22"/>
    <w:qFormat/>
    <w:locked/>
    <w:rsid w:val="00B948E5"/>
    <w:rPr>
      <w:b/>
      <w:bCs/>
    </w:rPr>
  </w:style>
  <w:style w:type="paragraph" w:styleId="NormalWeb">
    <w:name w:val="Normal (Web)"/>
    <w:basedOn w:val="Normal"/>
    <w:link w:val="NormalWebCar"/>
    <w:unhideWhenUsed/>
    <w:rsid w:val="00B948E5"/>
    <w:pPr>
      <w:spacing w:before="100" w:beforeAutospacing="1" w:after="100" w:afterAutospacing="1"/>
    </w:pPr>
    <w:rPr>
      <w:rFonts w:ascii="Times New Roman" w:hAnsi="Times New Roman"/>
      <w:lang w:val="es-CO"/>
    </w:rPr>
  </w:style>
  <w:style w:type="paragraph" w:customStyle="1" w:styleId="western">
    <w:name w:val="western"/>
    <w:basedOn w:val="Normal"/>
    <w:rsid w:val="00B948E5"/>
    <w:pPr>
      <w:spacing w:before="100" w:beforeAutospacing="1" w:after="100" w:afterAutospacing="1"/>
    </w:pPr>
    <w:rPr>
      <w:rFonts w:ascii="Times New Roman" w:hAnsi="Times New Roman"/>
      <w:lang w:val="es-CO"/>
    </w:rPr>
  </w:style>
  <w:style w:type="character" w:customStyle="1" w:styleId="baj">
    <w:name w:val="b_aj"/>
    <w:basedOn w:val="Fuentedeprrafopredeter"/>
    <w:rsid w:val="0023105F"/>
  </w:style>
  <w:style w:type="character" w:customStyle="1" w:styleId="CharAttribute7">
    <w:name w:val="CharAttribute7"/>
    <w:rsid w:val="00105206"/>
    <w:rPr>
      <w:rFonts w:ascii="Arial" w:eastAsia="Times New Roman"/>
      <w:b/>
      <w:sz w:val="24"/>
    </w:rPr>
  </w:style>
  <w:style w:type="paragraph" w:customStyle="1" w:styleId="ParaAttribute9">
    <w:name w:val="ParaAttribute9"/>
    <w:rsid w:val="00105206"/>
    <w:pPr>
      <w:spacing w:before="280" w:after="280"/>
      <w:jc w:val="both"/>
    </w:pPr>
    <w:rPr>
      <w:rFonts w:eastAsia="¹Å"/>
      <w:lang w:val="es-CO"/>
    </w:rPr>
  </w:style>
  <w:style w:type="character" w:customStyle="1" w:styleId="apple-converted-space">
    <w:name w:val="apple-converted-space"/>
    <w:basedOn w:val="Fuentedeprrafopredeter"/>
    <w:rsid w:val="0038043D"/>
  </w:style>
  <w:style w:type="character" w:customStyle="1" w:styleId="PrrafodelistaCar">
    <w:name w:val="Párrafo de lista Car"/>
    <w:aliases w:val="List1 Car,LISTA Car,Párrafo de lista1 Car,Párrafo de lista2 Car,Ha Car,Resume Title Car,Bullet List Car,FooterText Car,numbered Car,List Paragraph1 Car,Paragraphe de liste1 Car,lp1 Car,HOJA Car,Colorful List Accent 1 Car,Bullets Car"/>
    <w:link w:val="Prrafodelista"/>
    <w:uiPriority w:val="1"/>
    <w:qFormat/>
    <w:locked/>
    <w:rsid w:val="001A30EF"/>
    <w:rPr>
      <w:rFonts w:ascii="Arial" w:hAnsi="Arial"/>
      <w:color w:val="000000"/>
      <w:sz w:val="24"/>
    </w:rPr>
  </w:style>
  <w:style w:type="paragraph" w:styleId="Textonotapie">
    <w:name w:val="footnote text"/>
    <w:aliases w:val="ft,ft Car Car Car,ft Car,Texto nota pie2,ft1,ft Car Car Car1,Texto nota pie Car2,ft Car Car2,Footnote Text Char Char Char Char Char,Footnote Text Char Char Char Char,Footnote reference,FA Fu,Footnote Text Char Char Char,Car,Footnote Text "/>
    <w:basedOn w:val="Normal"/>
    <w:link w:val="TextonotapieCar"/>
    <w:uiPriority w:val="99"/>
    <w:unhideWhenUsed/>
    <w:qFormat/>
    <w:rsid w:val="00412331"/>
    <w:rPr>
      <w:sz w:val="20"/>
    </w:rPr>
  </w:style>
  <w:style w:type="character" w:customStyle="1" w:styleId="TextonotapieCar">
    <w:name w:val="Texto nota pie Car"/>
    <w:aliases w:val="ft Car1,ft Car Car Car Car,ft Car Car,Texto nota pie2 Car,ft1 Car,ft Car Car Car1 Car,Texto nota pie Car2 Car,ft Car Car2 Car,Footnote Text Char Char Char Char Char Car,Footnote Text Char Char Char Char Car,Footnote reference Car"/>
    <w:basedOn w:val="Fuentedeprrafopredeter"/>
    <w:link w:val="Textonotapie"/>
    <w:uiPriority w:val="99"/>
    <w:rsid w:val="00412331"/>
    <w:rPr>
      <w:rFonts w:ascii="Arial" w:hAnsi="Arial"/>
      <w:color w:val="000000"/>
    </w:rPr>
  </w:style>
  <w:style w:type="character" w:styleId="Refdenotaalpie">
    <w:name w:val="footnote reference"/>
    <w:aliases w:val="Ref,de nota al pie,referencia nota al pie,Texto de nota al pie,Footnote symbol,Footnote,FC,BVI fnr,Ref. de nota al pie2,Nota de pie,Pie de pagina,Texto nota al pie,Fußnotenzeichen DISS,16 Point,Superscript 6 Point,ftref,Ref1,f,4_G,F"/>
    <w:basedOn w:val="Fuentedeprrafopredeter"/>
    <w:uiPriority w:val="99"/>
    <w:unhideWhenUsed/>
    <w:qFormat/>
    <w:rsid w:val="00412331"/>
    <w:rPr>
      <w:vertAlign w:val="superscript"/>
    </w:rPr>
  </w:style>
  <w:style w:type="paragraph" w:customStyle="1" w:styleId="Default">
    <w:name w:val="Default"/>
    <w:rsid w:val="00412331"/>
    <w:pPr>
      <w:autoSpaceDE w:val="0"/>
      <w:autoSpaceDN w:val="0"/>
      <w:adjustRightInd w:val="0"/>
    </w:pPr>
    <w:rPr>
      <w:rFonts w:ascii="Calibri" w:hAnsi="Calibri" w:cs="Calibri"/>
      <w:color w:val="000000"/>
      <w:lang w:val="es-CO"/>
    </w:rPr>
  </w:style>
  <w:style w:type="character" w:customStyle="1" w:styleId="Ttulo3Car">
    <w:name w:val="Título 3 Car"/>
    <w:basedOn w:val="Fuentedeprrafopredeter"/>
    <w:uiPriority w:val="9"/>
    <w:rsid w:val="00187D66"/>
    <w:rPr>
      <w:rFonts w:asciiTheme="majorHAnsi" w:eastAsiaTheme="majorEastAsia" w:hAnsiTheme="majorHAnsi" w:cstheme="majorBidi"/>
      <w:color w:val="243F60" w:themeColor="accent1" w:themeShade="7F"/>
      <w:sz w:val="24"/>
      <w:szCs w:val="24"/>
    </w:rPr>
  </w:style>
  <w:style w:type="paragraph" w:styleId="Sinespaciado">
    <w:name w:val="No Spacing"/>
    <w:uiPriority w:val="1"/>
    <w:qFormat/>
    <w:rsid w:val="00187D66"/>
    <w:rPr>
      <w:rFonts w:ascii="Calibri" w:eastAsia="Calibri" w:hAnsi="Calibri"/>
      <w:sz w:val="22"/>
      <w:szCs w:val="22"/>
      <w:lang w:val="es-CO" w:eastAsia="en-US"/>
    </w:rPr>
  </w:style>
  <w:style w:type="character" w:styleId="AcrnimoHTML">
    <w:name w:val="HTML Acronym"/>
    <w:basedOn w:val="Fuentedeprrafopredeter"/>
    <w:uiPriority w:val="99"/>
    <w:semiHidden/>
    <w:unhideWhenUsed/>
    <w:rsid w:val="00693D80"/>
  </w:style>
  <w:style w:type="character" w:styleId="nfasis">
    <w:name w:val="Emphasis"/>
    <w:basedOn w:val="Fuentedeprrafopredeter"/>
    <w:qFormat/>
    <w:locked/>
    <w:rsid w:val="00DF6611"/>
    <w:rPr>
      <w:i/>
      <w:iCs/>
    </w:rPr>
  </w:style>
  <w:style w:type="paragraph" w:styleId="Textonotaalfinal">
    <w:name w:val="endnote text"/>
    <w:basedOn w:val="Normal"/>
    <w:link w:val="TextonotaalfinalCar"/>
    <w:uiPriority w:val="99"/>
    <w:semiHidden/>
    <w:unhideWhenUsed/>
    <w:rsid w:val="00DB38D4"/>
    <w:rPr>
      <w:sz w:val="20"/>
    </w:rPr>
  </w:style>
  <w:style w:type="character" w:customStyle="1" w:styleId="TextonotaalfinalCar">
    <w:name w:val="Texto nota al final Car"/>
    <w:basedOn w:val="Fuentedeprrafopredeter"/>
    <w:link w:val="Textonotaalfinal"/>
    <w:uiPriority w:val="99"/>
    <w:semiHidden/>
    <w:rsid w:val="00DB38D4"/>
    <w:rPr>
      <w:rFonts w:ascii="Arial" w:hAnsi="Arial"/>
      <w:color w:val="000000"/>
    </w:rPr>
  </w:style>
  <w:style w:type="character" w:styleId="Refdenotaalfinal">
    <w:name w:val="endnote reference"/>
    <w:basedOn w:val="Fuentedeprrafopredeter"/>
    <w:uiPriority w:val="99"/>
    <w:semiHidden/>
    <w:unhideWhenUsed/>
    <w:rsid w:val="00DB38D4"/>
    <w:rPr>
      <w:vertAlign w:val="superscript"/>
    </w:rPr>
  </w:style>
  <w:style w:type="paragraph" w:styleId="Asuntodelcomentario">
    <w:name w:val="annotation subject"/>
    <w:basedOn w:val="Textocomentario"/>
    <w:next w:val="Textocomentario"/>
    <w:link w:val="AsuntodelcomentarioCar"/>
    <w:uiPriority w:val="99"/>
    <w:unhideWhenUsed/>
    <w:rsid w:val="00BD654C"/>
    <w:rPr>
      <w:b/>
      <w:bCs/>
    </w:rPr>
  </w:style>
  <w:style w:type="character" w:customStyle="1" w:styleId="AsuntodelcomentarioCar">
    <w:name w:val="Asunto del comentario Car"/>
    <w:basedOn w:val="TextocomentarioCar"/>
    <w:link w:val="Asuntodelcomentario"/>
    <w:uiPriority w:val="99"/>
    <w:rsid w:val="00BD654C"/>
    <w:rPr>
      <w:rFonts w:ascii="Arial" w:hAnsi="Arial" w:cs="Times New Roman"/>
      <w:b/>
      <w:bCs/>
      <w:color w:val="000000"/>
      <w:sz w:val="20"/>
      <w:szCs w:val="20"/>
    </w:rPr>
  </w:style>
  <w:style w:type="paragraph" w:styleId="Bibliografa">
    <w:name w:val="Bibliography"/>
    <w:basedOn w:val="Normal"/>
    <w:next w:val="Normal"/>
    <w:uiPriority w:val="37"/>
    <w:unhideWhenUsed/>
    <w:rsid w:val="00BD654C"/>
  </w:style>
  <w:style w:type="character" w:customStyle="1" w:styleId="ls12">
    <w:name w:val="ls12"/>
    <w:basedOn w:val="Fuentedeprrafopredeter"/>
    <w:rsid w:val="00BA2B2D"/>
  </w:style>
  <w:style w:type="character" w:customStyle="1" w:styleId="ls13">
    <w:name w:val="ls13"/>
    <w:basedOn w:val="Fuentedeprrafopredeter"/>
    <w:rsid w:val="00BA2B2D"/>
  </w:style>
  <w:style w:type="character" w:customStyle="1" w:styleId="ls3">
    <w:name w:val="ls3"/>
    <w:basedOn w:val="Fuentedeprrafopredeter"/>
    <w:rsid w:val="00BA2B2D"/>
  </w:style>
  <w:style w:type="character" w:customStyle="1" w:styleId="ls5">
    <w:name w:val="ls5"/>
    <w:basedOn w:val="Fuentedeprrafopredeter"/>
    <w:rsid w:val="00BA2B2D"/>
  </w:style>
  <w:style w:type="character" w:customStyle="1" w:styleId="ws6a">
    <w:name w:val="ws6a"/>
    <w:basedOn w:val="Fuentedeprrafopredeter"/>
    <w:rsid w:val="00BA2B2D"/>
  </w:style>
  <w:style w:type="character" w:customStyle="1" w:styleId="ws6d">
    <w:name w:val="ws6d"/>
    <w:basedOn w:val="Fuentedeprrafopredeter"/>
    <w:rsid w:val="00BA2B2D"/>
  </w:style>
  <w:style w:type="character" w:customStyle="1" w:styleId="ls38">
    <w:name w:val="ls38"/>
    <w:basedOn w:val="Fuentedeprrafopredeter"/>
    <w:rsid w:val="00902E99"/>
  </w:style>
  <w:style w:type="character" w:customStyle="1" w:styleId="ls14">
    <w:name w:val="ls14"/>
    <w:basedOn w:val="Fuentedeprrafopredeter"/>
    <w:rsid w:val="00902E99"/>
  </w:style>
  <w:style w:type="character" w:customStyle="1" w:styleId="ls17">
    <w:name w:val="ls17"/>
    <w:basedOn w:val="Fuentedeprrafopredeter"/>
    <w:rsid w:val="00902E99"/>
  </w:style>
  <w:style w:type="character" w:customStyle="1" w:styleId="ls10">
    <w:name w:val="ls10"/>
    <w:basedOn w:val="Fuentedeprrafopredeter"/>
    <w:rsid w:val="00902E99"/>
  </w:style>
  <w:style w:type="character" w:customStyle="1" w:styleId="ls15">
    <w:name w:val="ls15"/>
    <w:basedOn w:val="Fuentedeprrafopredeter"/>
    <w:rsid w:val="00902E99"/>
  </w:style>
  <w:style w:type="character" w:customStyle="1" w:styleId="ls19">
    <w:name w:val="ls19"/>
    <w:basedOn w:val="Fuentedeprrafopredeter"/>
    <w:rsid w:val="00902E99"/>
  </w:style>
  <w:style w:type="character" w:customStyle="1" w:styleId="ws82">
    <w:name w:val="ws82"/>
    <w:basedOn w:val="Fuentedeprrafopredeter"/>
    <w:rsid w:val="00902E99"/>
  </w:style>
  <w:style w:type="character" w:customStyle="1" w:styleId="ws83">
    <w:name w:val="ws83"/>
    <w:basedOn w:val="Fuentedeprrafopredeter"/>
    <w:rsid w:val="00902E99"/>
  </w:style>
  <w:style w:type="character" w:customStyle="1" w:styleId="ls4">
    <w:name w:val="ls4"/>
    <w:basedOn w:val="Fuentedeprrafopredeter"/>
    <w:rsid w:val="00902E99"/>
  </w:style>
  <w:style w:type="character" w:customStyle="1" w:styleId="ls6">
    <w:name w:val="ls6"/>
    <w:basedOn w:val="Fuentedeprrafopredeter"/>
    <w:rsid w:val="00902E99"/>
  </w:style>
  <w:style w:type="character" w:customStyle="1" w:styleId="ws89">
    <w:name w:val="ws89"/>
    <w:basedOn w:val="Fuentedeprrafopredeter"/>
    <w:rsid w:val="00902E99"/>
  </w:style>
  <w:style w:type="character" w:customStyle="1" w:styleId="ws8a">
    <w:name w:val="ws8a"/>
    <w:basedOn w:val="Fuentedeprrafopredeter"/>
    <w:rsid w:val="00902E99"/>
  </w:style>
  <w:style w:type="character" w:customStyle="1" w:styleId="ls11">
    <w:name w:val="ls11"/>
    <w:basedOn w:val="Fuentedeprrafopredeter"/>
    <w:rsid w:val="00902E99"/>
  </w:style>
  <w:style w:type="character" w:customStyle="1" w:styleId="ls36">
    <w:name w:val="ls36"/>
    <w:basedOn w:val="Fuentedeprrafopredeter"/>
    <w:rsid w:val="00902E99"/>
  </w:style>
  <w:style w:type="character" w:customStyle="1" w:styleId="ls1a">
    <w:name w:val="ls1a"/>
    <w:basedOn w:val="Fuentedeprrafopredeter"/>
    <w:rsid w:val="00902E99"/>
  </w:style>
  <w:style w:type="character" w:customStyle="1" w:styleId="ls28">
    <w:name w:val="ls28"/>
    <w:basedOn w:val="Fuentedeprrafopredeter"/>
    <w:rsid w:val="00902E99"/>
  </w:style>
  <w:style w:type="character" w:customStyle="1" w:styleId="ls34">
    <w:name w:val="ls34"/>
    <w:basedOn w:val="Fuentedeprrafopredeter"/>
    <w:rsid w:val="00902E99"/>
  </w:style>
  <w:style w:type="character" w:customStyle="1" w:styleId="wsaa">
    <w:name w:val="wsaa"/>
    <w:basedOn w:val="Fuentedeprrafopredeter"/>
    <w:rsid w:val="00902E99"/>
  </w:style>
  <w:style w:type="character" w:customStyle="1" w:styleId="ls37">
    <w:name w:val="ls37"/>
    <w:basedOn w:val="Fuentedeprrafopredeter"/>
    <w:rsid w:val="00902E99"/>
  </w:style>
  <w:style w:type="paragraph" w:customStyle="1" w:styleId="btext">
    <w:name w:val="btext"/>
    <w:basedOn w:val="Normal"/>
    <w:rsid w:val="00CB1A10"/>
    <w:pPr>
      <w:spacing w:before="100" w:beforeAutospacing="1" w:after="100" w:afterAutospacing="1"/>
    </w:pPr>
    <w:rPr>
      <w:rFonts w:ascii="Times New Roman" w:hAnsi="Times New Roman"/>
      <w:lang w:val="es-CO"/>
    </w:rPr>
  </w:style>
  <w:style w:type="character" w:customStyle="1" w:styleId="ff3">
    <w:name w:val="ff3"/>
    <w:basedOn w:val="Fuentedeprrafopredeter"/>
    <w:rsid w:val="00697017"/>
  </w:style>
  <w:style w:type="character" w:customStyle="1" w:styleId="ff1">
    <w:name w:val="ff1"/>
    <w:basedOn w:val="Fuentedeprrafopredeter"/>
    <w:rsid w:val="00697017"/>
  </w:style>
  <w:style w:type="character" w:customStyle="1" w:styleId="ws2a0">
    <w:name w:val="ws2a0"/>
    <w:basedOn w:val="Fuentedeprrafopredeter"/>
    <w:rsid w:val="00697017"/>
  </w:style>
  <w:style w:type="character" w:customStyle="1" w:styleId="ws32">
    <w:name w:val="ws32"/>
    <w:basedOn w:val="Fuentedeprrafopredeter"/>
    <w:rsid w:val="00697017"/>
  </w:style>
  <w:style w:type="character" w:customStyle="1" w:styleId="ls2c">
    <w:name w:val="ls2c"/>
    <w:basedOn w:val="Fuentedeprrafopredeter"/>
    <w:rsid w:val="00697017"/>
  </w:style>
  <w:style w:type="character" w:customStyle="1" w:styleId="ws4f">
    <w:name w:val="ws4f"/>
    <w:basedOn w:val="Fuentedeprrafopredeter"/>
    <w:rsid w:val="00697017"/>
  </w:style>
  <w:style w:type="character" w:customStyle="1" w:styleId="ls1">
    <w:name w:val="ls1"/>
    <w:basedOn w:val="Fuentedeprrafopredeter"/>
    <w:rsid w:val="00697017"/>
  </w:style>
  <w:style w:type="character" w:customStyle="1" w:styleId="ls98">
    <w:name w:val="ls98"/>
    <w:basedOn w:val="Fuentedeprrafopredeter"/>
    <w:rsid w:val="00697017"/>
  </w:style>
  <w:style w:type="character" w:customStyle="1" w:styleId="Ttulo6Car">
    <w:name w:val="Título 6 Car"/>
    <w:basedOn w:val="Fuentedeprrafopredeter"/>
    <w:uiPriority w:val="99"/>
    <w:rsid w:val="00EB1FCE"/>
    <w:rPr>
      <w:rFonts w:ascii="Calibri" w:hAnsi="Calibri"/>
      <w:b/>
      <w:bCs/>
      <w:lang w:val="es-ES_tradnl" w:eastAsia="x-none"/>
    </w:rPr>
  </w:style>
  <w:style w:type="character" w:customStyle="1" w:styleId="Heading1Char">
    <w:name w:val="Heading 1 Char"/>
    <w:uiPriority w:val="9"/>
    <w:rsid w:val="00EB1FCE"/>
    <w:rPr>
      <w:rFonts w:ascii="Cambria" w:eastAsia="Times New Roman" w:hAnsi="Cambria" w:cs="Times New Roman"/>
      <w:b/>
      <w:bCs/>
      <w:kern w:val="32"/>
      <w:sz w:val="32"/>
      <w:szCs w:val="32"/>
      <w:lang w:val="es-ES_tradnl" w:eastAsia="es-ES"/>
    </w:rPr>
  </w:style>
  <w:style w:type="character" w:customStyle="1" w:styleId="Heading2Char">
    <w:name w:val="Heading 2 Char"/>
    <w:uiPriority w:val="9"/>
    <w:semiHidden/>
    <w:rsid w:val="00EB1FCE"/>
    <w:rPr>
      <w:rFonts w:ascii="Cambria" w:eastAsia="Times New Roman" w:hAnsi="Cambria" w:cs="Times New Roman"/>
      <w:b/>
      <w:bCs/>
      <w:i/>
      <w:iCs/>
      <w:sz w:val="28"/>
      <w:szCs w:val="28"/>
      <w:lang w:val="es-ES_tradnl" w:eastAsia="es-ES"/>
    </w:rPr>
  </w:style>
  <w:style w:type="character" w:customStyle="1" w:styleId="Heading3Char">
    <w:name w:val="Heading 3 Char"/>
    <w:uiPriority w:val="9"/>
    <w:semiHidden/>
    <w:rsid w:val="00EB1FCE"/>
    <w:rPr>
      <w:rFonts w:ascii="Cambria" w:eastAsia="Times New Roman" w:hAnsi="Cambria" w:cs="Times New Roman"/>
      <w:b/>
      <w:bCs/>
      <w:sz w:val="26"/>
      <w:szCs w:val="26"/>
      <w:lang w:val="es-ES_tradnl" w:eastAsia="es-ES"/>
    </w:rPr>
  </w:style>
  <w:style w:type="character" w:customStyle="1" w:styleId="Heading4Char">
    <w:name w:val="Heading 4 Char"/>
    <w:uiPriority w:val="9"/>
    <w:semiHidden/>
    <w:rsid w:val="00EB1FCE"/>
    <w:rPr>
      <w:rFonts w:ascii="Calibri" w:eastAsia="Times New Roman" w:hAnsi="Calibri" w:cs="Times New Roman"/>
      <w:b/>
      <w:bCs/>
      <w:sz w:val="28"/>
      <w:szCs w:val="28"/>
      <w:lang w:val="es-ES_tradnl" w:eastAsia="es-ES"/>
    </w:rPr>
  </w:style>
  <w:style w:type="character" w:customStyle="1" w:styleId="Heading5Char">
    <w:name w:val="Heading 5 Char"/>
    <w:uiPriority w:val="9"/>
    <w:semiHidden/>
    <w:rsid w:val="00EB1FCE"/>
    <w:rPr>
      <w:rFonts w:ascii="Calibri" w:eastAsia="Times New Roman" w:hAnsi="Calibri" w:cs="Times New Roman"/>
      <w:b/>
      <w:bCs/>
      <w:i/>
      <w:iCs/>
      <w:sz w:val="26"/>
      <w:szCs w:val="26"/>
      <w:lang w:val="es-ES_tradnl" w:eastAsia="es-ES"/>
    </w:rPr>
  </w:style>
  <w:style w:type="character" w:customStyle="1" w:styleId="Heading6Char">
    <w:name w:val="Heading 6 Char"/>
    <w:uiPriority w:val="9"/>
    <w:semiHidden/>
    <w:rsid w:val="00EB1FCE"/>
    <w:rPr>
      <w:rFonts w:ascii="Calibri" w:eastAsia="Times New Roman" w:hAnsi="Calibri" w:cs="Times New Roman"/>
      <w:b/>
      <w:bCs/>
      <w:lang w:val="es-ES_tradnl" w:eastAsia="es-ES"/>
    </w:rPr>
  </w:style>
  <w:style w:type="character" w:customStyle="1" w:styleId="HeaderChar">
    <w:name w:val="Header Char"/>
    <w:uiPriority w:val="99"/>
    <w:semiHidden/>
    <w:rsid w:val="00EB1FCE"/>
    <w:rPr>
      <w:sz w:val="20"/>
      <w:szCs w:val="20"/>
      <w:lang w:val="es-ES_tradnl" w:eastAsia="es-ES"/>
    </w:rPr>
  </w:style>
  <w:style w:type="character" w:customStyle="1" w:styleId="FooterChar">
    <w:name w:val="Footer Char"/>
    <w:uiPriority w:val="99"/>
    <w:semiHidden/>
    <w:rsid w:val="00EB1FCE"/>
    <w:rPr>
      <w:sz w:val="20"/>
      <w:szCs w:val="20"/>
      <w:lang w:val="es-ES_tradnl" w:eastAsia="es-ES"/>
    </w:rPr>
  </w:style>
  <w:style w:type="paragraph" w:styleId="Mapadeldocumento">
    <w:name w:val="Document Map"/>
    <w:basedOn w:val="Normal"/>
    <w:link w:val="MapadeldocumentoCar"/>
    <w:uiPriority w:val="99"/>
    <w:semiHidden/>
    <w:rsid w:val="00EB1FCE"/>
    <w:pPr>
      <w:shd w:val="clear" w:color="auto" w:fill="000080"/>
    </w:pPr>
    <w:rPr>
      <w:rFonts w:ascii="Tahoma" w:hAnsi="Tahoma"/>
      <w:sz w:val="16"/>
      <w:szCs w:val="16"/>
      <w:lang w:val="es-ES_tradnl" w:eastAsia="x-none"/>
    </w:rPr>
  </w:style>
  <w:style w:type="character" w:customStyle="1" w:styleId="MapadeldocumentoCar">
    <w:name w:val="Mapa del documento Car"/>
    <w:basedOn w:val="Fuentedeprrafopredeter"/>
    <w:link w:val="Mapadeldocumento"/>
    <w:uiPriority w:val="99"/>
    <w:semiHidden/>
    <w:rsid w:val="00EB1FCE"/>
    <w:rPr>
      <w:rFonts w:ascii="Tahoma" w:hAnsi="Tahoma"/>
      <w:sz w:val="16"/>
      <w:szCs w:val="16"/>
      <w:shd w:val="clear" w:color="auto" w:fill="000080"/>
      <w:lang w:val="es-ES_tradnl" w:eastAsia="x-none"/>
    </w:rPr>
  </w:style>
  <w:style w:type="character" w:customStyle="1" w:styleId="DocumentMapChar">
    <w:name w:val="Document Map Char"/>
    <w:uiPriority w:val="99"/>
    <w:semiHidden/>
    <w:rsid w:val="00EB1FCE"/>
    <w:rPr>
      <w:sz w:val="0"/>
      <w:szCs w:val="0"/>
      <w:lang w:val="es-ES_tradnl" w:eastAsia="es-ES"/>
    </w:rPr>
  </w:style>
  <w:style w:type="character" w:customStyle="1" w:styleId="BalloonTextChar">
    <w:name w:val="Balloon Text Char"/>
    <w:uiPriority w:val="99"/>
    <w:semiHidden/>
    <w:rsid w:val="00EB1FCE"/>
    <w:rPr>
      <w:sz w:val="0"/>
      <w:szCs w:val="0"/>
      <w:lang w:val="es-ES_tradnl" w:eastAsia="es-ES"/>
    </w:rPr>
  </w:style>
  <w:style w:type="paragraph" w:customStyle="1" w:styleId="estilo4">
    <w:name w:val="estilo4"/>
    <w:basedOn w:val="Normal"/>
    <w:rsid w:val="00EB1FCE"/>
    <w:pPr>
      <w:spacing w:before="100" w:beforeAutospacing="1" w:after="100" w:afterAutospacing="1"/>
    </w:pPr>
    <w:rPr>
      <w:rFonts w:ascii="Times New Roman" w:hAnsi="Times New Roman"/>
    </w:rPr>
  </w:style>
  <w:style w:type="paragraph" w:customStyle="1" w:styleId="estilo5">
    <w:name w:val="estilo5"/>
    <w:basedOn w:val="Normal"/>
    <w:rsid w:val="00EB1FCE"/>
    <w:pPr>
      <w:spacing w:before="100" w:beforeAutospacing="1" w:after="100" w:afterAutospacing="1"/>
    </w:pPr>
    <w:rPr>
      <w:rFonts w:ascii="Times New Roman" w:hAnsi="Times New Roman"/>
    </w:rPr>
  </w:style>
  <w:style w:type="character" w:customStyle="1" w:styleId="estilo61">
    <w:name w:val="estilo61"/>
    <w:rsid w:val="00EB1FCE"/>
    <w:rPr>
      <w:b/>
      <w:bCs/>
      <w:color w:val="FF0000"/>
    </w:rPr>
  </w:style>
  <w:style w:type="table" w:styleId="Sombreadoclaro-nfasis1">
    <w:name w:val="Light Shading Accent 1"/>
    <w:basedOn w:val="Tablanormal"/>
    <w:uiPriority w:val="60"/>
    <w:rsid w:val="00EB1FCE"/>
    <w:rPr>
      <w:color w:val="365F91"/>
      <w:lang w:val="es-CO"/>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TtuloCar">
    <w:name w:val="Título Car"/>
    <w:basedOn w:val="Fuentedeprrafopredeter"/>
    <w:rsid w:val="00EB1FCE"/>
    <w:rPr>
      <w:rFonts w:ascii="Cambria" w:hAnsi="Cambria"/>
      <w:b/>
      <w:bCs/>
      <w:kern w:val="28"/>
      <w:sz w:val="32"/>
      <w:szCs w:val="32"/>
      <w:lang w:val="es-ES_tradnl"/>
    </w:rPr>
  </w:style>
  <w:style w:type="paragraph" w:customStyle="1" w:styleId="piecuerpo2">
    <w:name w:val="piecuerpo2"/>
    <w:basedOn w:val="Normal"/>
    <w:rsid w:val="00EB1FCE"/>
    <w:pPr>
      <w:spacing w:after="100" w:afterAutospacing="1" w:line="225" w:lineRule="atLeast"/>
      <w:ind w:left="750"/>
      <w:textAlignment w:val="top"/>
    </w:pPr>
    <w:rPr>
      <w:color w:val="333333"/>
      <w:sz w:val="17"/>
      <w:szCs w:val="17"/>
      <w:lang w:val="es-CO"/>
    </w:rPr>
  </w:style>
  <w:style w:type="character" w:customStyle="1" w:styleId="Mencinsinresolver1">
    <w:name w:val="Mención sin resolver1"/>
    <w:basedOn w:val="Fuentedeprrafopredeter"/>
    <w:uiPriority w:val="99"/>
    <w:semiHidden/>
    <w:unhideWhenUsed/>
    <w:rsid w:val="00EB1FCE"/>
    <w:rPr>
      <w:color w:val="605E5C"/>
      <w:shd w:val="clear" w:color="auto" w:fill="E1DFDD"/>
    </w:rPr>
  </w:style>
  <w:style w:type="table" w:customStyle="1" w:styleId="TableNormal1">
    <w:name w:val="Table Normal"/>
    <w:uiPriority w:val="2"/>
    <w:semiHidden/>
    <w:unhideWhenUsed/>
    <w:qFormat/>
    <w:rsid w:val="00EB1FC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B1FCE"/>
    <w:pPr>
      <w:widowControl w:val="0"/>
      <w:autoSpaceDE w:val="0"/>
      <w:autoSpaceDN w:val="0"/>
      <w:ind w:left="107"/>
    </w:pPr>
    <w:rPr>
      <w:rFonts w:ascii="Trebuchet MS" w:eastAsia="Trebuchet MS" w:hAnsi="Trebuchet MS" w:cs="Trebuchet MS"/>
      <w:sz w:val="22"/>
      <w:szCs w:val="22"/>
      <w:lang w:eastAsia="en-US"/>
    </w:rPr>
  </w:style>
  <w:style w:type="character" w:styleId="Hipervnculovisitado">
    <w:name w:val="FollowedHyperlink"/>
    <w:basedOn w:val="Fuentedeprrafopredeter"/>
    <w:uiPriority w:val="99"/>
    <w:unhideWhenUsed/>
    <w:rsid w:val="00EB1FCE"/>
    <w:rPr>
      <w:color w:val="800080" w:themeColor="followedHyperlink"/>
      <w:u w:val="single"/>
    </w:rPr>
  </w:style>
  <w:style w:type="character" w:customStyle="1" w:styleId="st">
    <w:name w:val="st"/>
    <w:basedOn w:val="Fuentedeprrafopredeter"/>
    <w:rsid w:val="00601BC4"/>
  </w:style>
  <w:style w:type="paragraph" w:customStyle="1" w:styleId="centrado">
    <w:name w:val="centrado"/>
    <w:basedOn w:val="Normal"/>
    <w:rsid w:val="00601BC4"/>
    <w:pPr>
      <w:spacing w:before="100" w:beforeAutospacing="1" w:after="100" w:afterAutospacing="1"/>
    </w:pPr>
    <w:rPr>
      <w:rFonts w:ascii="Times New Roman" w:hAnsi="Times New Roman"/>
      <w:sz w:val="20"/>
      <w:lang w:val="es-CO" w:eastAsia="en-US"/>
    </w:rPr>
  </w:style>
  <w:style w:type="paragraph" w:styleId="Citadestacada">
    <w:name w:val="Intense Quote"/>
    <w:basedOn w:val="Normal"/>
    <w:next w:val="Normal"/>
    <w:link w:val="CitadestacadaCar"/>
    <w:uiPriority w:val="30"/>
    <w:qFormat/>
    <w:rsid w:val="00601BC4"/>
    <w:pPr>
      <w:pBdr>
        <w:top w:val="single" w:sz="4" w:space="10" w:color="4F81BD" w:themeColor="accent1"/>
        <w:bottom w:val="single" w:sz="4" w:space="10" w:color="4F81BD" w:themeColor="accent1"/>
      </w:pBdr>
      <w:spacing w:before="360" w:after="360"/>
      <w:ind w:left="864" w:right="864"/>
      <w:jc w:val="center"/>
    </w:pPr>
    <w:rPr>
      <w:rFonts w:ascii="Times New Roman" w:hAnsi="Times New Roman"/>
      <w:i/>
      <w:iCs/>
      <w:color w:val="4F81BD" w:themeColor="accent1"/>
      <w:lang w:eastAsia="en-US"/>
    </w:rPr>
  </w:style>
  <w:style w:type="character" w:customStyle="1" w:styleId="CitadestacadaCar">
    <w:name w:val="Cita destacada Car"/>
    <w:basedOn w:val="Fuentedeprrafopredeter"/>
    <w:link w:val="Citadestacada"/>
    <w:uiPriority w:val="30"/>
    <w:rsid w:val="00601BC4"/>
    <w:rPr>
      <w:i/>
      <w:iCs/>
      <w:color w:val="4F81BD" w:themeColor="accent1"/>
      <w:sz w:val="24"/>
      <w:szCs w:val="24"/>
      <w:lang w:eastAsia="en-US"/>
    </w:rPr>
  </w:style>
  <w:style w:type="paragraph" w:customStyle="1" w:styleId="AnexosOficio">
    <w:name w:val="Anexos Oficio"/>
    <w:basedOn w:val="Normal"/>
    <w:qFormat/>
    <w:rsid w:val="00601BC4"/>
    <w:pPr>
      <w:spacing w:line="200" w:lineRule="exact"/>
    </w:pPr>
    <w:rPr>
      <w:rFonts w:ascii="Times New Roman" w:eastAsia="Calibri" w:hAnsi="Times New Roman"/>
      <w:sz w:val="16"/>
      <w:szCs w:val="18"/>
      <w:lang w:eastAsia="en-US"/>
    </w:rPr>
  </w:style>
  <w:style w:type="character" w:customStyle="1" w:styleId="reference-text">
    <w:name w:val="reference-text"/>
    <w:basedOn w:val="Fuentedeprrafopredeter"/>
    <w:rsid w:val="00601BC4"/>
  </w:style>
  <w:style w:type="character" w:customStyle="1" w:styleId="NormalWebCar">
    <w:name w:val="Normal (Web) Car"/>
    <w:link w:val="NormalWeb"/>
    <w:uiPriority w:val="99"/>
    <w:rsid w:val="00601BC4"/>
    <w:rPr>
      <w:sz w:val="24"/>
      <w:szCs w:val="24"/>
      <w:lang w:val="es-CO" w:eastAsia="es-CO"/>
    </w:rPr>
  </w:style>
  <w:style w:type="table" w:customStyle="1" w:styleId="TableNormal10">
    <w:name w:val="Table Normal1"/>
    <w:uiPriority w:val="2"/>
    <w:qFormat/>
    <w:rsid w:val="00601BC4"/>
    <w:pPr>
      <w:pBdr>
        <w:top w:val="nil"/>
        <w:left w:val="nil"/>
        <w:bottom w:val="nil"/>
        <w:right w:val="nil"/>
        <w:between w:val="nil"/>
        <w:bar w:val="nil"/>
      </w:pBdr>
    </w:pPr>
    <w:rPr>
      <w:rFonts w:eastAsia="Arial Unicode MS"/>
      <w:bdr w:val="nil"/>
      <w:lang w:val="es-CO"/>
    </w:rPr>
    <w:tblPr>
      <w:tblInd w:w="0" w:type="dxa"/>
      <w:tblCellMar>
        <w:top w:w="0" w:type="dxa"/>
        <w:left w:w="0" w:type="dxa"/>
        <w:bottom w:w="0" w:type="dxa"/>
        <w:right w:w="0" w:type="dxa"/>
      </w:tblCellMar>
    </w:tblPr>
  </w:style>
  <w:style w:type="paragraph" w:customStyle="1" w:styleId="Cuerpo">
    <w:name w:val="Cuerpo"/>
    <w:rsid w:val="00601BC4"/>
    <w:pPr>
      <w:pBdr>
        <w:top w:val="nil"/>
        <w:left w:val="nil"/>
        <w:bottom w:val="nil"/>
        <w:right w:val="nil"/>
        <w:between w:val="nil"/>
        <w:bar w:val="nil"/>
      </w:pBdr>
      <w:spacing w:after="160" w:line="259" w:lineRule="auto"/>
    </w:pPr>
    <w:rPr>
      <w:rFonts w:ascii="Calibri" w:eastAsia="Arial Unicode MS" w:hAnsi="Calibri" w:cs="Arial Unicode MS"/>
      <w:color w:val="000000"/>
      <w:sz w:val="22"/>
      <w:szCs w:val="22"/>
      <w:u w:color="000000"/>
      <w:bdr w:val="nil"/>
      <w:lang w:val="es-CO"/>
      <w14:textOutline w14:w="0" w14:cap="flat" w14:cmpd="sng" w14:algn="ctr">
        <w14:noFill/>
        <w14:prstDash w14:val="solid"/>
        <w14:bevel/>
      </w14:textOutline>
    </w:rPr>
  </w:style>
  <w:style w:type="character" w:customStyle="1" w:styleId="Ninguno">
    <w:name w:val="Ninguno"/>
    <w:rsid w:val="00601BC4"/>
  </w:style>
  <w:style w:type="paragraph" w:styleId="Sangra2detindependiente">
    <w:name w:val="Body Text Indent 2"/>
    <w:basedOn w:val="Normal"/>
    <w:link w:val="Sangra2detindependienteCar"/>
    <w:unhideWhenUsed/>
    <w:rsid w:val="00601BC4"/>
    <w:pPr>
      <w:spacing w:after="120" w:line="480" w:lineRule="auto"/>
      <w:ind w:left="283"/>
    </w:pPr>
    <w:rPr>
      <w:rFonts w:ascii="Times New Roman" w:hAnsi="Times New Roman"/>
      <w:lang w:eastAsia="en-US"/>
    </w:rPr>
  </w:style>
  <w:style w:type="character" w:customStyle="1" w:styleId="Sangra2detindependienteCar">
    <w:name w:val="Sangría 2 de t. independiente Car"/>
    <w:basedOn w:val="Fuentedeprrafopredeter"/>
    <w:link w:val="Sangra2detindependiente"/>
    <w:rsid w:val="00601BC4"/>
    <w:rPr>
      <w:sz w:val="24"/>
      <w:szCs w:val="24"/>
      <w:lang w:eastAsia="en-US"/>
    </w:rPr>
  </w:style>
  <w:style w:type="table" w:styleId="Tablanormal1">
    <w:name w:val="Plain Table 1"/>
    <w:basedOn w:val="Tablanormal"/>
    <w:uiPriority w:val="41"/>
    <w:rsid w:val="00601BC4"/>
    <w:rPr>
      <w:rFonts w:asciiTheme="minorHAnsi" w:eastAsiaTheme="minorHAnsi" w:hAnsiTheme="minorHAnsi" w:cstheme="minorBidi"/>
      <w:sz w:val="22"/>
      <w:szCs w:val="22"/>
      <w:lang w:val="es-CO" w:eastAsia="en-US"/>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11">
    <w:name w:val="s11"/>
    <w:basedOn w:val="Fuentedeprrafopredeter"/>
    <w:rsid w:val="00601BC4"/>
  </w:style>
  <w:style w:type="character" w:customStyle="1" w:styleId="s14">
    <w:name w:val="s14"/>
    <w:basedOn w:val="Fuentedeprrafopredeter"/>
    <w:rsid w:val="00601BC4"/>
  </w:style>
  <w:style w:type="character" w:customStyle="1" w:styleId="s25">
    <w:name w:val="s25"/>
    <w:basedOn w:val="Fuentedeprrafopredeter"/>
    <w:rsid w:val="00601BC4"/>
  </w:style>
  <w:style w:type="paragraph" w:customStyle="1" w:styleId="s27">
    <w:name w:val="s27"/>
    <w:basedOn w:val="Normal"/>
    <w:rsid w:val="00601BC4"/>
    <w:pPr>
      <w:spacing w:before="100" w:beforeAutospacing="1" w:after="100" w:afterAutospacing="1"/>
    </w:pPr>
    <w:rPr>
      <w:rFonts w:ascii="Times New Roman" w:eastAsiaTheme="minorEastAsia" w:hAnsi="Times New Roman"/>
      <w:lang w:val="en-US" w:eastAsia="en-US"/>
    </w:rPr>
  </w:style>
  <w:style w:type="paragraph" w:customStyle="1" w:styleId="s28">
    <w:name w:val="s28"/>
    <w:basedOn w:val="Normal"/>
    <w:rsid w:val="00601BC4"/>
    <w:pPr>
      <w:spacing w:before="100" w:beforeAutospacing="1" w:after="100" w:afterAutospacing="1"/>
    </w:pPr>
    <w:rPr>
      <w:rFonts w:ascii="Times New Roman" w:eastAsiaTheme="minorEastAsia" w:hAnsi="Times New Roman"/>
      <w:lang w:val="en-US" w:eastAsia="en-US"/>
    </w:rPr>
  </w:style>
  <w:style w:type="paragraph" w:customStyle="1" w:styleId="s24">
    <w:name w:val="s24"/>
    <w:basedOn w:val="Normal"/>
    <w:rsid w:val="00601BC4"/>
    <w:pPr>
      <w:spacing w:before="100" w:beforeAutospacing="1" w:after="100" w:afterAutospacing="1"/>
    </w:pPr>
    <w:rPr>
      <w:rFonts w:ascii="Times New Roman" w:eastAsiaTheme="minorEastAsia" w:hAnsi="Times New Roman"/>
      <w:lang w:val="en-US" w:eastAsia="en-US"/>
    </w:rPr>
  </w:style>
  <w:style w:type="paragraph" w:customStyle="1" w:styleId="s21">
    <w:name w:val="s21"/>
    <w:basedOn w:val="Normal"/>
    <w:rsid w:val="00601BC4"/>
    <w:pPr>
      <w:spacing w:before="100" w:beforeAutospacing="1" w:after="100" w:afterAutospacing="1"/>
    </w:pPr>
    <w:rPr>
      <w:rFonts w:ascii="Times New Roman" w:eastAsiaTheme="minorEastAsia" w:hAnsi="Times New Roman"/>
      <w:lang w:val="en-US" w:eastAsia="en-US"/>
    </w:rPr>
  </w:style>
  <w:style w:type="paragraph" w:customStyle="1" w:styleId="s17">
    <w:name w:val="s17"/>
    <w:basedOn w:val="Normal"/>
    <w:rsid w:val="00601BC4"/>
    <w:pPr>
      <w:spacing w:before="100" w:beforeAutospacing="1" w:after="100" w:afterAutospacing="1"/>
    </w:pPr>
    <w:rPr>
      <w:rFonts w:ascii="Times New Roman" w:eastAsiaTheme="minorEastAsia" w:hAnsi="Times New Roman"/>
      <w:lang w:val="en-US" w:eastAsia="en-US"/>
    </w:rPr>
  </w:style>
  <w:style w:type="character" w:customStyle="1" w:styleId="s72">
    <w:name w:val="s72"/>
    <w:basedOn w:val="Fuentedeprrafopredeter"/>
    <w:rsid w:val="00601BC4"/>
  </w:style>
  <w:style w:type="character" w:customStyle="1" w:styleId="s18">
    <w:name w:val="s18"/>
    <w:basedOn w:val="Fuentedeprrafopredeter"/>
    <w:rsid w:val="00601BC4"/>
  </w:style>
  <w:style w:type="character" w:customStyle="1" w:styleId="s13">
    <w:name w:val="s13"/>
    <w:basedOn w:val="Fuentedeprrafopredeter"/>
    <w:rsid w:val="00601BC4"/>
  </w:style>
  <w:style w:type="character" w:customStyle="1" w:styleId="s70">
    <w:name w:val="s70"/>
    <w:basedOn w:val="Fuentedeprrafopredeter"/>
    <w:rsid w:val="00601BC4"/>
  </w:style>
  <w:style w:type="character" w:customStyle="1" w:styleId="s71">
    <w:name w:val="s71"/>
    <w:basedOn w:val="Fuentedeprrafopredeter"/>
    <w:rsid w:val="00601BC4"/>
  </w:style>
  <w:style w:type="character" w:customStyle="1" w:styleId="s60">
    <w:name w:val="s60"/>
    <w:basedOn w:val="Fuentedeprrafopredeter"/>
    <w:rsid w:val="00601BC4"/>
  </w:style>
  <w:style w:type="character" w:customStyle="1" w:styleId="s32">
    <w:name w:val="s32"/>
    <w:basedOn w:val="Fuentedeprrafopredeter"/>
    <w:rsid w:val="00601BC4"/>
  </w:style>
  <w:style w:type="paragraph" w:customStyle="1" w:styleId="s73">
    <w:name w:val="s73"/>
    <w:basedOn w:val="Normal"/>
    <w:rsid w:val="00601BC4"/>
    <w:pPr>
      <w:spacing w:before="100" w:beforeAutospacing="1" w:after="100" w:afterAutospacing="1"/>
    </w:pPr>
    <w:rPr>
      <w:rFonts w:ascii="Times New Roman" w:eastAsiaTheme="minorEastAsia" w:hAnsi="Times New Roman"/>
      <w:lang w:val="en-US" w:eastAsia="en-US"/>
    </w:rPr>
  </w:style>
  <w:style w:type="character" w:customStyle="1" w:styleId="s26">
    <w:name w:val="s26"/>
    <w:basedOn w:val="Fuentedeprrafopredeter"/>
    <w:rsid w:val="00601BC4"/>
  </w:style>
  <w:style w:type="character" w:customStyle="1" w:styleId="s87">
    <w:name w:val="s87"/>
    <w:basedOn w:val="Fuentedeprrafopredeter"/>
    <w:rsid w:val="00601BC4"/>
  </w:style>
  <w:style w:type="paragraph" w:customStyle="1" w:styleId="s5">
    <w:name w:val="s5"/>
    <w:basedOn w:val="Normal"/>
    <w:rsid w:val="00601BC4"/>
    <w:pPr>
      <w:spacing w:before="100" w:beforeAutospacing="1" w:after="100" w:afterAutospacing="1"/>
    </w:pPr>
    <w:rPr>
      <w:rFonts w:ascii="Times New Roman" w:eastAsiaTheme="minorEastAsia" w:hAnsi="Times New Roman"/>
      <w:lang w:val="en-US" w:eastAsia="en-US"/>
    </w:rPr>
  </w:style>
  <w:style w:type="character" w:customStyle="1" w:styleId="s6">
    <w:name w:val="s6"/>
    <w:basedOn w:val="Fuentedeprrafopredeter"/>
    <w:rsid w:val="00601BC4"/>
  </w:style>
  <w:style w:type="character" w:customStyle="1" w:styleId="s7">
    <w:name w:val="s7"/>
    <w:basedOn w:val="Fuentedeprrafopredeter"/>
    <w:rsid w:val="00601BC4"/>
  </w:style>
  <w:style w:type="character" w:customStyle="1" w:styleId="s3">
    <w:name w:val="s3"/>
    <w:basedOn w:val="Fuentedeprrafopredeter"/>
    <w:rsid w:val="00601BC4"/>
  </w:style>
  <w:style w:type="paragraph" w:customStyle="1" w:styleId="s16">
    <w:name w:val="s16"/>
    <w:basedOn w:val="Normal"/>
    <w:rsid w:val="00601BC4"/>
    <w:pPr>
      <w:spacing w:before="100" w:beforeAutospacing="1" w:after="100" w:afterAutospacing="1"/>
    </w:pPr>
    <w:rPr>
      <w:rFonts w:ascii="Times New Roman" w:eastAsiaTheme="minorEastAsia" w:hAnsi="Times New Roman"/>
      <w:lang w:val="en-US" w:eastAsia="en-US"/>
    </w:rPr>
  </w:style>
  <w:style w:type="character" w:customStyle="1" w:styleId="bumpedfont15">
    <w:name w:val="bumpedfont15"/>
    <w:basedOn w:val="Fuentedeprrafopredeter"/>
    <w:rsid w:val="00601BC4"/>
  </w:style>
  <w:style w:type="paragraph" w:styleId="Revisin">
    <w:name w:val="Revision"/>
    <w:hidden/>
    <w:uiPriority w:val="99"/>
    <w:semiHidden/>
    <w:rsid w:val="00601BC4"/>
    <w:rPr>
      <w:color w:val="000000"/>
    </w:rPr>
  </w:style>
  <w:style w:type="character" w:customStyle="1" w:styleId="Mencinsinresolver10">
    <w:name w:val="Mención sin resolver1"/>
    <w:basedOn w:val="Fuentedeprrafopredeter"/>
    <w:uiPriority w:val="99"/>
    <w:semiHidden/>
    <w:unhideWhenUsed/>
    <w:rsid w:val="00601BC4"/>
    <w:rPr>
      <w:color w:val="605E5C"/>
      <w:shd w:val="clear" w:color="auto" w:fill="E1DFDD"/>
    </w:rPr>
  </w:style>
  <w:style w:type="character" w:customStyle="1" w:styleId="Ttulo7Car">
    <w:name w:val="Título 7 Car"/>
    <w:basedOn w:val="Fuentedeprrafopredeter"/>
    <w:link w:val="Ttulo7"/>
    <w:uiPriority w:val="1"/>
    <w:rsid w:val="006A37F8"/>
    <w:rPr>
      <w:rFonts w:asciiTheme="minorHAnsi" w:eastAsiaTheme="minorEastAsia" w:hAnsiTheme="minorHAnsi" w:cstheme="minorBidi"/>
      <w:sz w:val="24"/>
      <w:szCs w:val="24"/>
      <w:lang w:val="es-ES_tradnl" w:eastAsia="zh-CN"/>
    </w:rPr>
  </w:style>
  <w:style w:type="character" w:customStyle="1" w:styleId="WW8Num1z0">
    <w:name w:val="WW8Num1z0"/>
    <w:rsid w:val="006A37F8"/>
  </w:style>
  <w:style w:type="character" w:customStyle="1" w:styleId="WW8Num1z1">
    <w:name w:val="WW8Num1z1"/>
    <w:rsid w:val="006A37F8"/>
  </w:style>
  <w:style w:type="character" w:customStyle="1" w:styleId="WW8Num1z2">
    <w:name w:val="WW8Num1z2"/>
    <w:rsid w:val="006A37F8"/>
  </w:style>
  <w:style w:type="character" w:customStyle="1" w:styleId="WW8Num1z3">
    <w:name w:val="WW8Num1z3"/>
    <w:rsid w:val="006A37F8"/>
  </w:style>
  <w:style w:type="character" w:customStyle="1" w:styleId="WW8Num1z4">
    <w:name w:val="WW8Num1z4"/>
    <w:rsid w:val="006A37F8"/>
  </w:style>
  <w:style w:type="character" w:customStyle="1" w:styleId="WW8Num1z5">
    <w:name w:val="WW8Num1z5"/>
    <w:rsid w:val="006A37F8"/>
  </w:style>
  <w:style w:type="character" w:customStyle="1" w:styleId="WW8Num1z6">
    <w:name w:val="WW8Num1z6"/>
    <w:rsid w:val="006A37F8"/>
  </w:style>
  <w:style w:type="character" w:customStyle="1" w:styleId="WW8Num1z7">
    <w:name w:val="WW8Num1z7"/>
    <w:rsid w:val="006A37F8"/>
  </w:style>
  <w:style w:type="character" w:customStyle="1" w:styleId="WW8Num1z8">
    <w:name w:val="WW8Num1z8"/>
    <w:rsid w:val="006A37F8"/>
  </w:style>
  <w:style w:type="character" w:customStyle="1" w:styleId="Fuentedeprrafopredeter2">
    <w:name w:val="Fuente de párrafo predeter.2"/>
    <w:rsid w:val="006A37F8"/>
  </w:style>
  <w:style w:type="character" w:customStyle="1" w:styleId="WW8NumSt1z0">
    <w:name w:val="WW8NumSt1z0"/>
    <w:rsid w:val="006A37F8"/>
    <w:rPr>
      <w:rFonts w:ascii="Wingdings" w:hAnsi="Wingdings" w:cs="Wingdings"/>
      <w:b w:val="0"/>
      <w:bCs w:val="0"/>
      <w:i w:val="0"/>
      <w:iCs w:val="0"/>
      <w:sz w:val="24"/>
      <w:szCs w:val="24"/>
    </w:rPr>
  </w:style>
  <w:style w:type="character" w:customStyle="1" w:styleId="Fuentedeprrafopredeter1">
    <w:name w:val="Fuente de párrafo predeter.1"/>
    <w:rsid w:val="006A37F8"/>
  </w:style>
  <w:style w:type="paragraph" w:customStyle="1" w:styleId="Encabezado2">
    <w:name w:val="Encabezado2"/>
    <w:basedOn w:val="Normal"/>
    <w:next w:val="Textoindependiente"/>
    <w:rsid w:val="006A37F8"/>
    <w:pPr>
      <w:keepNext/>
      <w:suppressAutoHyphens/>
      <w:spacing w:before="240" w:after="120"/>
    </w:pPr>
    <w:rPr>
      <w:rFonts w:ascii="Liberation Sans" w:eastAsia="Microsoft YaHei" w:hAnsi="Liberation Sans" w:cs="Mangal"/>
      <w:sz w:val="28"/>
      <w:szCs w:val="28"/>
      <w:lang w:val="es-ES_tradnl" w:eastAsia="zh-CN"/>
    </w:rPr>
  </w:style>
  <w:style w:type="paragraph" w:styleId="Lista">
    <w:name w:val="List"/>
    <w:basedOn w:val="Textoindependiente"/>
    <w:rsid w:val="006A37F8"/>
    <w:pPr>
      <w:suppressAutoHyphens/>
      <w:spacing w:after="120"/>
      <w:jc w:val="left"/>
    </w:pPr>
    <w:rPr>
      <w:rFonts w:cs="Mangal"/>
      <w:sz w:val="20"/>
      <w:lang w:val="es-ES_tradnl" w:eastAsia="zh-CN"/>
    </w:rPr>
  </w:style>
  <w:style w:type="paragraph" w:styleId="Descripcin">
    <w:name w:val="caption"/>
    <w:basedOn w:val="Normal"/>
    <w:qFormat/>
    <w:locked/>
    <w:rsid w:val="006A37F8"/>
    <w:pPr>
      <w:suppressLineNumbers/>
      <w:suppressAutoHyphens/>
      <w:spacing w:before="120" w:after="120"/>
    </w:pPr>
    <w:rPr>
      <w:rFonts w:ascii="Times New Roman" w:hAnsi="Times New Roman" w:cs="Mangal"/>
      <w:i/>
      <w:iCs/>
      <w:lang w:val="es-ES_tradnl" w:eastAsia="zh-CN"/>
    </w:rPr>
  </w:style>
  <w:style w:type="paragraph" w:customStyle="1" w:styleId="ndice">
    <w:name w:val="Índice"/>
    <w:basedOn w:val="Normal"/>
    <w:rsid w:val="006A37F8"/>
    <w:pPr>
      <w:suppressLineNumbers/>
      <w:suppressAutoHyphens/>
    </w:pPr>
    <w:rPr>
      <w:rFonts w:ascii="Times New Roman" w:hAnsi="Times New Roman" w:cs="Mangal"/>
      <w:sz w:val="20"/>
      <w:lang w:val="es-ES_tradnl" w:eastAsia="zh-CN"/>
    </w:rPr>
  </w:style>
  <w:style w:type="paragraph" w:customStyle="1" w:styleId="Encabezado1">
    <w:name w:val="Encabezado1"/>
    <w:basedOn w:val="Normal"/>
    <w:next w:val="Textoindependiente"/>
    <w:rsid w:val="006A37F8"/>
    <w:pPr>
      <w:keepNext/>
      <w:suppressAutoHyphens/>
      <w:spacing w:before="240" w:after="120"/>
    </w:pPr>
    <w:rPr>
      <w:rFonts w:eastAsia="Microsoft YaHei" w:cs="Mangal"/>
      <w:sz w:val="28"/>
      <w:szCs w:val="28"/>
      <w:lang w:val="es-ES_tradnl" w:eastAsia="zh-CN"/>
    </w:rPr>
  </w:style>
  <w:style w:type="paragraph" w:customStyle="1" w:styleId="Epgrafe1">
    <w:name w:val="Epígrafe1"/>
    <w:basedOn w:val="Normal"/>
    <w:rsid w:val="006A37F8"/>
    <w:pPr>
      <w:suppressLineNumbers/>
      <w:suppressAutoHyphens/>
      <w:spacing w:before="120" w:after="120"/>
    </w:pPr>
    <w:rPr>
      <w:rFonts w:ascii="Times New Roman" w:hAnsi="Times New Roman" w:cs="Mangal"/>
      <w:i/>
      <w:iCs/>
      <w:lang w:val="es-ES_tradnl" w:eastAsia="zh-CN"/>
    </w:rPr>
  </w:style>
  <w:style w:type="paragraph" w:customStyle="1" w:styleId="Mapadeldocumento1">
    <w:name w:val="Mapa del documento1"/>
    <w:basedOn w:val="Normal"/>
    <w:rsid w:val="006A37F8"/>
    <w:pPr>
      <w:shd w:val="clear" w:color="auto" w:fill="000080"/>
      <w:suppressAutoHyphens/>
    </w:pPr>
    <w:rPr>
      <w:rFonts w:ascii="Tahoma" w:hAnsi="Tahoma" w:cs="Tahoma"/>
      <w:sz w:val="20"/>
      <w:lang w:val="es-ES_tradnl" w:eastAsia="zh-CN"/>
    </w:rPr>
  </w:style>
  <w:style w:type="paragraph" w:customStyle="1" w:styleId="Contenidodelmarco">
    <w:name w:val="Contenido del marco"/>
    <w:basedOn w:val="Normal"/>
    <w:rsid w:val="006A37F8"/>
    <w:pPr>
      <w:suppressAutoHyphens/>
    </w:pPr>
    <w:rPr>
      <w:rFonts w:ascii="Times New Roman" w:hAnsi="Times New Roman"/>
      <w:sz w:val="20"/>
      <w:lang w:val="es-ES_tradnl" w:eastAsia="zh-CN"/>
    </w:rPr>
  </w:style>
  <w:style w:type="paragraph" w:styleId="Cita">
    <w:name w:val="Quote"/>
    <w:basedOn w:val="Normal"/>
    <w:link w:val="CitaCar"/>
    <w:qFormat/>
    <w:rsid w:val="006A37F8"/>
    <w:pPr>
      <w:suppressAutoHyphens/>
      <w:spacing w:after="283"/>
      <w:ind w:left="567" w:right="567"/>
    </w:pPr>
    <w:rPr>
      <w:rFonts w:ascii="Times New Roman" w:hAnsi="Times New Roman"/>
      <w:sz w:val="20"/>
      <w:lang w:val="es-ES_tradnl" w:eastAsia="zh-CN"/>
    </w:rPr>
  </w:style>
  <w:style w:type="character" w:customStyle="1" w:styleId="CitaCar">
    <w:name w:val="Cita Car"/>
    <w:basedOn w:val="Fuentedeprrafopredeter"/>
    <w:link w:val="Cita"/>
    <w:rsid w:val="006A37F8"/>
    <w:rPr>
      <w:lang w:val="es-ES_tradnl" w:eastAsia="zh-CN"/>
    </w:rPr>
  </w:style>
  <w:style w:type="character" w:customStyle="1" w:styleId="SubttuloCar">
    <w:name w:val="Subtítulo Car"/>
    <w:basedOn w:val="Fuentedeprrafopredeter"/>
    <w:rsid w:val="006A37F8"/>
    <w:rPr>
      <w:rFonts w:ascii="Liberation Sans" w:eastAsia="Microsoft YaHei" w:hAnsi="Liberation Sans" w:cs="Mangal"/>
      <w:sz w:val="36"/>
      <w:szCs w:val="36"/>
      <w:lang w:val="es-ES_tradnl" w:eastAsia="zh-CN"/>
    </w:rPr>
  </w:style>
  <w:style w:type="character" w:customStyle="1" w:styleId="Titulo2Car">
    <w:name w:val="Titulo 2 Car"/>
    <w:link w:val="Titulo2"/>
    <w:locked/>
    <w:rsid w:val="006A37F8"/>
    <w:rPr>
      <w:rFonts w:ascii="Arial" w:hAnsi="Arial" w:cs="Arial"/>
      <w:b/>
      <w:sz w:val="24"/>
      <w:szCs w:val="24"/>
    </w:rPr>
  </w:style>
  <w:style w:type="paragraph" w:customStyle="1" w:styleId="Titulo2">
    <w:name w:val="Titulo 2"/>
    <w:basedOn w:val="Normal"/>
    <w:link w:val="Titulo2Car"/>
    <w:autoRedefine/>
    <w:qFormat/>
    <w:rsid w:val="006A37F8"/>
    <w:pPr>
      <w:jc w:val="both"/>
    </w:pPr>
    <w:rPr>
      <w:b/>
    </w:rPr>
  </w:style>
  <w:style w:type="paragraph" w:customStyle="1" w:styleId="msonormal0">
    <w:name w:val="msonormal"/>
    <w:basedOn w:val="Normal"/>
    <w:rsid w:val="006A37F8"/>
    <w:pPr>
      <w:spacing w:before="100" w:beforeAutospacing="1" w:after="100" w:afterAutospacing="1"/>
    </w:pPr>
    <w:rPr>
      <w:rFonts w:ascii="Times New Roman" w:hAnsi="Times New Roman"/>
      <w:lang w:val="es-CO"/>
    </w:rPr>
  </w:style>
  <w:style w:type="paragraph" w:customStyle="1" w:styleId="xl69">
    <w:name w:val="xl69"/>
    <w:basedOn w:val="Normal"/>
    <w:rsid w:val="006A37F8"/>
    <w:pPr>
      <w:spacing w:before="100" w:beforeAutospacing="1" w:after="100" w:afterAutospacing="1"/>
      <w:textAlignment w:val="top"/>
    </w:pPr>
    <w:rPr>
      <w:sz w:val="18"/>
      <w:szCs w:val="18"/>
      <w:lang w:val="es-CO"/>
    </w:rPr>
  </w:style>
  <w:style w:type="paragraph" w:customStyle="1" w:styleId="xl70">
    <w:name w:val="xl70"/>
    <w:basedOn w:val="Normal"/>
    <w:rsid w:val="006A37F8"/>
    <w:pPr>
      <w:pBdr>
        <w:top w:val="single" w:sz="4" w:space="0" w:color="auto"/>
        <w:bottom w:val="single" w:sz="4" w:space="0" w:color="auto"/>
      </w:pBdr>
      <w:spacing w:before="100" w:beforeAutospacing="1" w:after="100" w:afterAutospacing="1"/>
      <w:jc w:val="center"/>
      <w:textAlignment w:val="top"/>
    </w:pPr>
    <w:rPr>
      <w:b/>
      <w:bCs/>
      <w:sz w:val="18"/>
      <w:szCs w:val="18"/>
      <w:lang w:val="es-CO"/>
    </w:rPr>
  </w:style>
  <w:style w:type="paragraph" w:customStyle="1" w:styleId="xl71">
    <w:name w:val="xl71"/>
    <w:basedOn w:val="Normal"/>
    <w:rsid w:val="006A37F8"/>
    <w:pPr>
      <w:spacing w:before="100" w:beforeAutospacing="1" w:after="100" w:afterAutospacing="1"/>
      <w:jc w:val="right"/>
      <w:textAlignment w:val="top"/>
    </w:pPr>
    <w:rPr>
      <w:sz w:val="18"/>
      <w:szCs w:val="18"/>
      <w:lang w:val="es-CO"/>
    </w:rPr>
  </w:style>
  <w:style w:type="paragraph" w:customStyle="1" w:styleId="xl72">
    <w:name w:val="xl72"/>
    <w:basedOn w:val="Normal"/>
    <w:rsid w:val="006A37F8"/>
    <w:pPr>
      <w:pBdr>
        <w:top w:val="single" w:sz="4" w:space="0" w:color="auto"/>
        <w:bottom w:val="single" w:sz="4" w:space="0" w:color="auto"/>
      </w:pBdr>
      <w:spacing w:before="100" w:beforeAutospacing="1" w:after="100" w:afterAutospacing="1"/>
      <w:textAlignment w:val="top"/>
    </w:pPr>
    <w:rPr>
      <w:sz w:val="18"/>
      <w:szCs w:val="18"/>
      <w:lang w:val="es-CO"/>
    </w:rPr>
  </w:style>
  <w:style w:type="paragraph" w:customStyle="1" w:styleId="xl73">
    <w:name w:val="xl73"/>
    <w:basedOn w:val="Normal"/>
    <w:rsid w:val="006A37F8"/>
    <w:pPr>
      <w:pBdr>
        <w:top w:val="single" w:sz="4" w:space="0" w:color="auto"/>
        <w:bottom w:val="single" w:sz="4" w:space="0" w:color="auto"/>
      </w:pBdr>
      <w:spacing w:before="100" w:beforeAutospacing="1" w:after="100" w:afterAutospacing="1"/>
      <w:textAlignment w:val="top"/>
    </w:pPr>
    <w:rPr>
      <w:sz w:val="18"/>
      <w:szCs w:val="18"/>
      <w:lang w:val="es-CO"/>
    </w:rPr>
  </w:style>
  <w:style w:type="paragraph" w:customStyle="1" w:styleId="xl74">
    <w:name w:val="xl74"/>
    <w:basedOn w:val="Normal"/>
    <w:rsid w:val="006A37F8"/>
    <w:pPr>
      <w:pBdr>
        <w:top w:val="single" w:sz="4" w:space="0" w:color="auto"/>
        <w:bottom w:val="single" w:sz="4" w:space="0" w:color="auto"/>
      </w:pBdr>
      <w:spacing w:before="100" w:beforeAutospacing="1" w:after="100" w:afterAutospacing="1"/>
      <w:jc w:val="center"/>
      <w:textAlignment w:val="top"/>
    </w:pPr>
    <w:rPr>
      <w:b/>
      <w:bCs/>
      <w:sz w:val="18"/>
      <w:szCs w:val="18"/>
      <w:lang w:val="es-CO"/>
    </w:rPr>
  </w:style>
  <w:style w:type="paragraph" w:customStyle="1" w:styleId="xl75">
    <w:name w:val="xl75"/>
    <w:basedOn w:val="Normal"/>
    <w:rsid w:val="006A37F8"/>
    <w:pPr>
      <w:spacing w:before="100" w:beforeAutospacing="1" w:after="100" w:afterAutospacing="1"/>
      <w:textAlignment w:val="top"/>
    </w:pPr>
    <w:rPr>
      <w:sz w:val="18"/>
      <w:szCs w:val="18"/>
      <w:lang w:val="es-CO"/>
    </w:rPr>
  </w:style>
  <w:style w:type="paragraph" w:customStyle="1" w:styleId="xl76">
    <w:name w:val="xl76"/>
    <w:basedOn w:val="Normal"/>
    <w:rsid w:val="006A37F8"/>
    <w:pPr>
      <w:spacing w:before="100" w:beforeAutospacing="1" w:after="100" w:afterAutospacing="1"/>
      <w:textAlignment w:val="top"/>
    </w:pPr>
    <w:rPr>
      <w:sz w:val="18"/>
      <w:szCs w:val="18"/>
      <w:lang w:val="es-CO"/>
    </w:rPr>
  </w:style>
  <w:style w:type="paragraph" w:customStyle="1" w:styleId="xl77">
    <w:name w:val="xl77"/>
    <w:basedOn w:val="Normal"/>
    <w:rsid w:val="006A37F8"/>
    <w:pPr>
      <w:pBdr>
        <w:top w:val="single" w:sz="4" w:space="0" w:color="auto"/>
        <w:bottom w:val="single" w:sz="4" w:space="0" w:color="auto"/>
      </w:pBdr>
      <w:spacing w:before="100" w:beforeAutospacing="1" w:after="100" w:afterAutospacing="1"/>
      <w:textAlignment w:val="center"/>
    </w:pPr>
    <w:rPr>
      <w:b/>
      <w:bCs/>
      <w:sz w:val="18"/>
      <w:szCs w:val="18"/>
      <w:lang w:val="es-CO"/>
    </w:rPr>
  </w:style>
  <w:style w:type="paragraph" w:customStyle="1" w:styleId="xl78">
    <w:name w:val="xl78"/>
    <w:basedOn w:val="Normal"/>
    <w:rsid w:val="006A37F8"/>
    <w:pPr>
      <w:pBdr>
        <w:top w:val="single" w:sz="4" w:space="0" w:color="auto"/>
        <w:bottom w:val="single" w:sz="4" w:space="0" w:color="auto"/>
      </w:pBdr>
      <w:spacing w:before="100" w:beforeAutospacing="1" w:after="100" w:afterAutospacing="1"/>
      <w:jc w:val="right"/>
      <w:textAlignment w:val="center"/>
    </w:pPr>
    <w:rPr>
      <w:b/>
      <w:bCs/>
      <w:sz w:val="18"/>
      <w:szCs w:val="18"/>
      <w:lang w:val="es-CO"/>
    </w:rPr>
  </w:style>
  <w:style w:type="paragraph" w:customStyle="1" w:styleId="xl79">
    <w:name w:val="xl79"/>
    <w:basedOn w:val="Normal"/>
    <w:rsid w:val="006A37F8"/>
    <w:pPr>
      <w:spacing w:before="100" w:beforeAutospacing="1" w:after="100" w:afterAutospacing="1"/>
      <w:textAlignment w:val="center"/>
    </w:pPr>
    <w:rPr>
      <w:b/>
      <w:bCs/>
      <w:sz w:val="18"/>
      <w:szCs w:val="18"/>
      <w:lang w:val="es-CO"/>
    </w:rPr>
  </w:style>
  <w:style w:type="paragraph" w:customStyle="1" w:styleId="xl80">
    <w:name w:val="xl80"/>
    <w:basedOn w:val="Normal"/>
    <w:rsid w:val="006A37F8"/>
    <w:pPr>
      <w:spacing w:before="100" w:beforeAutospacing="1" w:after="100" w:afterAutospacing="1"/>
      <w:jc w:val="right"/>
      <w:textAlignment w:val="center"/>
    </w:pPr>
    <w:rPr>
      <w:b/>
      <w:bCs/>
      <w:sz w:val="18"/>
      <w:szCs w:val="18"/>
      <w:lang w:val="es-CO"/>
    </w:rPr>
  </w:style>
  <w:style w:type="paragraph" w:customStyle="1" w:styleId="xl81">
    <w:name w:val="xl81"/>
    <w:basedOn w:val="Normal"/>
    <w:rsid w:val="006A37F8"/>
    <w:pPr>
      <w:spacing w:before="100" w:beforeAutospacing="1" w:after="100" w:afterAutospacing="1"/>
      <w:textAlignment w:val="top"/>
    </w:pPr>
    <w:rPr>
      <w:sz w:val="18"/>
      <w:szCs w:val="18"/>
      <w:lang w:val="es-CO"/>
    </w:rPr>
  </w:style>
  <w:style w:type="paragraph" w:customStyle="1" w:styleId="xl82">
    <w:name w:val="xl82"/>
    <w:basedOn w:val="Normal"/>
    <w:rsid w:val="006A37F8"/>
    <w:pPr>
      <w:pBdr>
        <w:top w:val="single" w:sz="4" w:space="0" w:color="auto"/>
        <w:bottom w:val="single" w:sz="4" w:space="0" w:color="auto"/>
      </w:pBdr>
      <w:spacing w:before="100" w:beforeAutospacing="1" w:after="100" w:afterAutospacing="1"/>
      <w:textAlignment w:val="top"/>
    </w:pPr>
    <w:rPr>
      <w:sz w:val="18"/>
      <w:szCs w:val="18"/>
      <w:lang w:val="es-CO"/>
    </w:rPr>
  </w:style>
  <w:style w:type="paragraph" w:customStyle="1" w:styleId="xl83">
    <w:name w:val="xl83"/>
    <w:basedOn w:val="Normal"/>
    <w:rsid w:val="006A37F8"/>
    <w:pPr>
      <w:pBdr>
        <w:top w:val="single" w:sz="4" w:space="0" w:color="auto"/>
        <w:bottom w:val="single" w:sz="4" w:space="0" w:color="auto"/>
      </w:pBdr>
      <w:spacing w:before="100" w:beforeAutospacing="1" w:after="100" w:afterAutospacing="1"/>
      <w:textAlignment w:val="top"/>
    </w:pPr>
    <w:rPr>
      <w:sz w:val="18"/>
      <w:szCs w:val="18"/>
      <w:lang w:val="es-CO"/>
    </w:rPr>
  </w:style>
  <w:style w:type="paragraph" w:customStyle="1" w:styleId="xl84">
    <w:name w:val="xl84"/>
    <w:basedOn w:val="Normal"/>
    <w:rsid w:val="006A37F8"/>
    <w:pPr>
      <w:spacing w:before="100" w:beforeAutospacing="1" w:after="100" w:afterAutospacing="1"/>
      <w:textAlignment w:val="top"/>
    </w:pPr>
    <w:rPr>
      <w:sz w:val="18"/>
      <w:szCs w:val="18"/>
      <w:lang w:val="es-CO"/>
    </w:rPr>
  </w:style>
  <w:style w:type="paragraph" w:customStyle="1" w:styleId="xl85">
    <w:name w:val="xl85"/>
    <w:basedOn w:val="Normal"/>
    <w:rsid w:val="006A37F8"/>
    <w:pPr>
      <w:spacing w:before="100" w:beforeAutospacing="1" w:after="100" w:afterAutospacing="1"/>
      <w:textAlignment w:val="top"/>
    </w:pPr>
    <w:rPr>
      <w:sz w:val="18"/>
      <w:szCs w:val="18"/>
      <w:lang w:val="es-CO"/>
    </w:rPr>
  </w:style>
  <w:style w:type="paragraph" w:customStyle="1" w:styleId="xl86">
    <w:name w:val="xl86"/>
    <w:basedOn w:val="Normal"/>
    <w:rsid w:val="006A37F8"/>
    <w:pPr>
      <w:pBdr>
        <w:top w:val="single" w:sz="4" w:space="0" w:color="auto"/>
        <w:bottom w:val="single" w:sz="4" w:space="0" w:color="auto"/>
      </w:pBdr>
      <w:spacing w:before="100" w:beforeAutospacing="1" w:after="100" w:afterAutospacing="1"/>
      <w:textAlignment w:val="top"/>
    </w:pPr>
    <w:rPr>
      <w:sz w:val="18"/>
      <w:szCs w:val="18"/>
      <w:lang w:val="es-CO"/>
    </w:rPr>
  </w:style>
  <w:style w:type="paragraph" w:customStyle="1" w:styleId="xl87">
    <w:name w:val="xl87"/>
    <w:basedOn w:val="Normal"/>
    <w:rsid w:val="006A37F8"/>
    <w:pPr>
      <w:pBdr>
        <w:top w:val="single" w:sz="4" w:space="0" w:color="auto"/>
        <w:bottom w:val="single" w:sz="4" w:space="0" w:color="auto"/>
      </w:pBdr>
      <w:spacing w:before="100" w:beforeAutospacing="1" w:after="100" w:afterAutospacing="1"/>
      <w:textAlignment w:val="center"/>
    </w:pPr>
    <w:rPr>
      <w:b/>
      <w:bCs/>
      <w:sz w:val="18"/>
      <w:szCs w:val="18"/>
      <w:lang w:val="es-CO"/>
    </w:rPr>
  </w:style>
  <w:style w:type="paragraph" w:customStyle="1" w:styleId="xl88">
    <w:name w:val="xl88"/>
    <w:basedOn w:val="Normal"/>
    <w:rsid w:val="006A37F8"/>
    <w:pPr>
      <w:pBdr>
        <w:top w:val="single" w:sz="4" w:space="0" w:color="auto"/>
        <w:bottom w:val="single" w:sz="4" w:space="0" w:color="auto"/>
      </w:pBdr>
      <w:spacing w:before="100" w:beforeAutospacing="1" w:after="100" w:afterAutospacing="1"/>
      <w:textAlignment w:val="top"/>
    </w:pPr>
    <w:rPr>
      <w:sz w:val="18"/>
      <w:szCs w:val="18"/>
      <w:lang w:val="es-CO"/>
    </w:rPr>
  </w:style>
  <w:style w:type="paragraph" w:customStyle="1" w:styleId="xl89">
    <w:name w:val="xl89"/>
    <w:basedOn w:val="Normal"/>
    <w:rsid w:val="006A37F8"/>
    <w:pPr>
      <w:spacing w:before="100" w:beforeAutospacing="1" w:after="100" w:afterAutospacing="1"/>
      <w:jc w:val="right"/>
      <w:textAlignment w:val="top"/>
    </w:pPr>
    <w:rPr>
      <w:sz w:val="18"/>
      <w:szCs w:val="18"/>
      <w:lang w:val="es-CO"/>
    </w:rPr>
  </w:style>
  <w:style w:type="paragraph" w:customStyle="1" w:styleId="xl90">
    <w:name w:val="xl90"/>
    <w:basedOn w:val="Normal"/>
    <w:rsid w:val="006A37F8"/>
    <w:pPr>
      <w:pBdr>
        <w:top w:val="single" w:sz="4" w:space="0" w:color="auto"/>
        <w:bottom w:val="single" w:sz="4" w:space="0" w:color="auto"/>
      </w:pBdr>
      <w:spacing w:before="100" w:beforeAutospacing="1" w:after="100" w:afterAutospacing="1"/>
      <w:textAlignment w:val="top"/>
    </w:pPr>
    <w:rPr>
      <w:color w:val="FFFFFF"/>
      <w:sz w:val="18"/>
      <w:szCs w:val="18"/>
      <w:lang w:val="es-CO"/>
    </w:rPr>
  </w:style>
  <w:style w:type="paragraph" w:customStyle="1" w:styleId="xl91">
    <w:name w:val="xl91"/>
    <w:basedOn w:val="Normal"/>
    <w:rsid w:val="006A37F8"/>
    <w:pPr>
      <w:spacing w:before="100" w:beforeAutospacing="1" w:after="100" w:afterAutospacing="1"/>
      <w:textAlignment w:val="top"/>
    </w:pPr>
    <w:rPr>
      <w:color w:val="FFFFFF"/>
      <w:sz w:val="18"/>
      <w:szCs w:val="18"/>
      <w:lang w:val="es-CO"/>
    </w:rPr>
  </w:style>
  <w:style w:type="paragraph" w:customStyle="1" w:styleId="xl92">
    <w:name w:val="xl92"/>
    <w:basedOn w:val="Normal"/>
    <w:rsid w:val="006A37F8"/>
    <w:pPr>
      <w:spacing w:before="100" w:beforeAutospacing="1" w:after="100" w:afterAutospacing="1"/>
      <w:textAlignment w:val="center"/>
    </w:pPr>
    <w:rPr>
      <w:b/>
      <w:bCs/>
      <w:sz w:val="18"/>
      <w:szCs w:val="18"/>
      <w:lang w:val="es-CO"/>
    </w:rPr>
  </w:style>
  <w:style w:type="paragraph" w:customStyle="1" w:styleId="xl93">
    <w:name w:val="xl93"/>
    <w:basedOn w:val="Normal"/>
    <w:rsid w:val="006A37F8"/>
    <w:pPr>
      <w:spacing w:before="100" w:beforeAutospacing="1" w:after="100" w:afterAutospacing="1"/>
    </w:pPr>
    <w:rPr>
      <w:rFonts w:ascii="Times New Roman" w:hAnsi="Times New Roman"/>
      <w:sz w:val="18"/>
      <w:szCs w:val="18"/>
      <w:lang w:val="es-CO"/>
    </w:rPr>
  </w:style>
  <w:style w:type="paragraph" w:customStyle="1" w:styleId="xl94">
    <w:name w:val="xl94"/>
    <w:basedOn w:val="Normal"/>
    <w:rsid w:val="006A37F8"/>
    <w:pPr>
      <w:spacing w:before="100" w:beforeAutospacing="1" w:after="100" w:afterAutospacing="1"/>
      <w:textAlignment w:val="top"/>
    </w:pPr>
    <w:rPr>
      <w:b/>
      <w:bCs/>
      <w:color w:val="FFFFFF"/>
      <w:sz w:val="18"/>
      <w:szCs w:val="18"/>
      <w:lang w:val="es-CO"/>
    </w:rPr>
  </w:style>
  <w:style w:type="paragraph" w:customStyle="1" w:styleId="xl95">
    <w:name w:val="xl95"/>
    <w:basedOn w:val="Normal"/>
    <w:rsid w:val="006A37F8"/>
    <w:pPr>
      <w:spacing w:before="100" w:beforeAutospacing="1" w:after="100" w:afterAutospacing="1"/>
      <w:textAlignment w:val="top"/>
    </w:pPr>
    <w:rPr>
      <w:sz w:val="18"/>
      <w:szCs w:val="18"/>
      <w:lang w:val="es-CO"/>
    </w:rPr>
  </w:style>
  <w:style w:type="paragraph" w:customStyle="1" w:styleId="xl96">
    <w:name w:val="xl96"/>
    <w:basedOn w:val="Normal"/>
    <w:rsid w:val="006A37F8"/>
    <w:pPr>
      <w:spacing w:before="100" w:beforeAutospacing="1" w:after="100" w:afterAutospacing="1"/>
      <w:textAlignment w:val="center"/>
    </w:pPr>
    <w:rPr>
      <w:b/>
      <w:bCs/>
      <w:sz w:val="18"/>
      <w:szCs w:val="18"/>
      <w:lang w:val="es-CO"/>
    </w:rPr>
  </w:style>
  <w:style w:type="paragraph" w:customStyle="1" w:styleId="xl97">
    <w:name w:val="xl97"/>
    <w:basedOn w:val="Normal"/>
    <w:rsid w:val="006A37F8"/>
    <w:pPr>
      <w:spacing w:before="100" w:beforeAutospacing="1" w:after="100" w:afterAutospacing="1"/>
      <w:jc w:val="right"/>
      <w:textAlignment w:val="center"/>
    </w:pPr>
    <w:rPr>
      <w:b/>
      <w:bCs/>
      <w:sz w:val="18"/>
      <w:szCs w:val="18"/>
      <w:lang w:val="es-CO"/>
    </w:rPr>
  </w:style>
  <w:style w:type="paragraph" w:customStyle="1" w:styleId="xl98">
    <w:name w:val="xl98"/>
    <w:basedOn w:val="Normal"/>
    <w:rsid w:val="006A37F8"/>
    <w:pPr>
      <w:spacing w:before="100" w:beforeAutospacing="1" w:after="100" w:afterAutospacing="1"/>
      <w:textAlignment w:val="top"/>
    </w:pPr>
    <w:rPr>
      <w:b/>
      <w:bCs/>
      <w:color w:val="FFFFFF"/>
      <w:sz w:val="18"/>
      <w:szCs w:val="18"/>
      <w:lang w:val="es-CO"/>
    </w:rPr>
  </w:style>
  <w:style w:type="paragraph" w:customStyle="1" w:styleId="xl99">
    <w:name w:val="xl99"/>
    <w:basedOn w:val="Normal"/>
    <w:rsid w:val="006A37F8"/>
    <w:pPr>
      <w:spacing w:before="100" w:beforeAutospacing="1" w:after="100" w:afterAutospacing="1"/>
      <w:textAlignment w:val="top"/>
    </w:pPr>
    <w:rPr>
      <w:sz w:val="18"/>
      <w:szCs w:val="18"/>
      <w:lang w:val="es-CO"/>
    </w:rPr>
  </w:style>
  <w:style w:type="paragraph" w:customStyle="1" w:styleId="xl100">
    <w:name w:val="xl100"/>
    <w:basedOn w:val="Normal"/>
    <w:rsid w:val="006A37F8"/>
    <w:pPr>
      <w:spacing w:before="100" w:beforeAutospacing="1" w:after="100" w:afterAutospacing="1"/>
      <w:textAlignment w:val="top"/>
    </w:pPr>
    <w:rPr>
      <w:b/>
      <w:bCs/>
      <w:sz w:val="18"/>
      <w:szCs w:val="18"/>
      <w:lang w:val="es-CO"/>
    </w:rPr>
  </w:style>
  <w:style w:type="paragraph" w:customStyle="1" w:styleId="xl101">
    <w:name w:val="xl101"/>
    <w:basedOn w:val="Normal"/>
    <w:rsid w:val="006A37F8"/>
    <w:pPr>
      <w:spacing w:before="100" w:beforeAutospacing="1" w:after="100" w:afterAutospacing="1"/>
      <w:jc w:val="center"/>
      <w:textAlignment w:val="top"/>
    </w:pPr>
    <w:rPr>
      <w:b/>
      <w:bCs/>
      <w:sz w:val="18"/>
      <w:szCs w:val="18"/>
      <w:lang w:val="es-CO"/>
    </w:rPr>
  </w:style>
  <w:style w:type="paragraph" w:customStyle="1" w:styleId="xl102">
    <w:name w:val="xl102"/>
    <w:basedOn w:val="Normal"/>
    <w:rsid w:val="006A37F8"/>
    <w:pPr>
      <w:pBdr>
        <w:bottom w:val="single" w:sz="4" w:space="0" w:color="auto"/>
      </w:pBdr>
      <w:spacing w:before="100" w:beforeAutospacing="1" w:after="100" w:afterAutospacing="1"/>
      <w:textAlignment w:val="top"/>
    </w:pPr>
    <w:rPr>
      <w:b/>
      <w:bCs/>
      <w:sz w:val="18"/>
      <w:szCs w:val="18"/>
      <w:lang w:val="es-CO"/>
    </w:rPr>
  </w:style>
  <w:style w:type="paragraph" w:customStyle="1" w:styleId="xl103">
    <w:name w:val="xl103"/>
    <w:basedOn w:val="Normal"/>
    <w:rsid w:val="006A37F8"/>
    <w:pPr>
      <w:spacing w:before="100" w:beforeAutospacing="1" w:after="100" w:afterAutospacing="1"/>
      <w:jc w:val="center"/>
      <w:textAlignment w:val="top"/>
    </w:pPr>
    <w:rPr>
      <w:b/>
      <w:bCs/>
      <w:sz w:val="18"/>
      <w:szCs w:val="18"/>
      <w:lang w:val="es-CO"/>
    </w:rPr>
  </w:style>
  <w:style w:type="paragraph" w:customStyle="1" w:styleId="xl104">
    <w:name w:val="xl104"/>
    <w:basedOn w:val="Normal"/>
    <w:rsid w:val="006A37F8"/>
    <w:pPr>
      <w:pBdr>
        <w:bottom w:val="single" w:sz="4" w:space="0" w:color="auto"/>
      </w:pBdr>
      <w:spacing w:before="100" w:beforeAutospacing="1" w:after="100" w:afterAutospacing="1"/>
      <w:textAlignment w:val="center"/>
    </w:pPr>
    <w:rPr>
      <w:b/>
      <w:bCs/>
      <w:sz w:val="18"/>
      <w:szCs w:val="18"/>
      <w:lang w:val="es-CO"/>
    </w:rPr>
  </w:style>
  <w:style w:type="paragraph" w:customStyle="1" w:styleId="xl105">
    <w:name w:val="xl105"/>
    <w:basedOn w:val="Normal"/>
    <w:rsid w:val="006A37F8"/>
    <w:pPr>
      <w:pBdr>
        <w:bottom w:val="single" w:sz="4" w:space="0" w:color="auto"/>
      </w:pBdr>
      <w:shd w:val="clear" w:color="000000" w:fill="FFFF00"/>
      <w:spacing w:before="100" w:beforeAutospacing="1" w:after="100" w:afterAutospacing="1"/>
      <w:textAlignment w:val="top"/>
    </w:pPr>
    <w:rPr>
      <w:b/>
      <w:bCs/>
      <w:sz w:val="18"/>
      <w:szCs w:val="18"/>
      <w:lang w:val="es-CO"/>
    </w:rPr>
  </w:style>
  <w:style w:type="paragraph" w:customStyle="1" w:styleId="xl106">
    <w:name w:val="xl106"/>
    <w:basedOn w:val="Normal"/>
    <w:rsid w:val="006A37F8"/>
    <w:pPr>
      <w:spacing w:before="100" w:beforeAutospacing="1" w:after="100" w:afterAutospacing="1"/>
      <w:jc w:val="center"/>
      <w:textAlignment w:val="top"/>
    </w:pPr>
    <w:rPr>
      <w:b/>
      <w:bCs/>
      <w:sz w:val="18"/>
      <w:szCs w:val="18"/>
      <w:lang w:val="es-CO"/>
    </w:rPr>
  </w:style>
  <w:style w:type="paragraph" w:customStyle="1" w:styleId="xl107">
    <w:name w:val="xl107"/>
    <w:basedOn w:val="Normal"/>
    <w:rsid w:val="006A37F8"/>
    <w:pPr>
      <w:spacing w:before="100" w:beforeAutospacing="1" w:after="100" w:afterAutospacing="1"/>
      <w:textAlignment w:val="top"/>
    </w:pPr>
    <w:rPr>
      <w:b/>
      <w:bCs/>
      <w:color w:val="FFFFFF"/>
      <w:sz w:val="18"/>
      <w:szCs w:val="18"/>
      <w:lang w:val="es-CO"/>
    </w:rPr>
  </w:style>
  <w:style w:type="paragraph" w:customStyle="1" w:styleId="xl108">
    <w:name w:val="xl108"/>
    <w:basedOn w:val="Normal"/>
    <w:rsid w:val="006A37F8"/>
    <w:pPr>
      <w:spacing w:before="100" w:beforeAutospacing="1" w:after="100" w:afterAutospacing="1"/>
    </w:pPr>
    <w:rPr>
      <w:sz w:val="18"/>
      <w:szCs w:val="18"/>
      <w:lang w:val="es-CO"/>
    </w:rPr>
  </w:style>
  <w:style w:type="paragraph" w:customStyle="1" w:styleId="xl109">
    <w:name w:val="xl109"/>
    <w:basedOn w:val="Normal"/>
    <w:rsid w:val="006A37F8"/>
    <w:pPr>
      <w:spacing w:before="100" w:beforeAutospacing="1" w:after="100" w:afterAutospacing="1"/>
      <w:jc w:val="center"/>
      <w:textAlignment w:val="top"/>
    </w:pPr>
    <w:rPr>
      <w:b/>
      <w:bCs/>
      <w:sz w:val="18"/>
      <w:szCs w:val="18"/>
      <w:lang w:val="es-CO"/>
    </w:rPr>
  </w:style>
  <w:style w:type="paragraph" w:customStyle="1" w:styleId="xl110">
    <w:name w:val="xl110"/>
    <w:basedOn w:val="Normal"/>
    <w:rsid w:val="006A37F8"/>
    <w:pPr>
      <w:spacing w:before="100" w:beforeAutospacing="1" w:after="100" w:afterAutospacing="1"/>
      <w:jc w:val="center"/>
      <w:textAlignment w:val="top"/>
    </w:pPr>
    <w:rPr>
      <w:b/>
      <w:bCs/>
      <w:sz w:val="18"/>
      <w:szCs w:val="18"/>
      <w:lang w:val="es-CO"/>
    </w:rPr>
  </w:style>
  <w:style w:type="paragraph" w:customStyle="1" w:styleId="xl111">
    <w:name w:val="xl111"/>
    <w:basedOn w:val="Normal"/>
    <w:rsid w:val="006A37F8"/>
    <w:pPr>
      <w:pBdr>
        <w:bottom w:val="single" w:sz="4" w:space="0" w:color="auto"/>
      </w:pBdr>
      <w:spacing w:before="100" w:beforeAutospacing="1" w:after="100" w:afterAutospacing="1"/>
      <w:textAlignment w:val="center"/>
    </w:pPr>
    <w:rPr>
      <w:b/>
      <w:bCs/>
      <w:sz w:val="18"/>
      <w:szCs w:val="18"/>
      <w:lang w:val="es-CO"/>
    </w:rPr>
  </w:style>
  <w:style w:type="paragraph" w:customStyle="1" w:styleId="xl112">
    <w:name w:val="xl112"/>
    <w:basedOn w:val="Normal"/>
    <w:rsid w:val="006A37F8"/>
    <w:pPr>
      <w:pBdr>
        <w:bottom w:val="single" w:sz="4" w:space="0" w:color="auto"/>
      </w:pBdr>
      <w:spacing w:before="100" w:beforeAutospacing="1" w:after="100" w:afterAutospacing="1"/>
      <w:textAlignment w:val="top"/>
    </w:pPr>
    <w:rPr>
      <w:b/>
      <w:bCs/>
      <w:sz w:val="18"/>
      <w:szCs w:val="18"/>
      <w:lang w:val="es-CO"/>
    </w:rPr>
  </w:style>
  <w:style w:type="paragraph" w:customStyle="1" w:styleId="xl113">
    <w:name w:val="xl113"/>
    <w:basedOn w:val="Normal"/>
    <w:rsid w:val="006A37F8"/>
    <w:pPr>
      <w:spacing w:before="100" w:beforeAutospacing="1" w:after="100" w:afterAutospacing="1"/>
      <w:jc w:val="center"/>
      <w:textAlignment w:val="top"/>
    </w:pPr>
    <w:rPr>
      <w:b/>
      <w:bCs/>
      <w:sz w:val="18"/>
      <w:szCs w:val="18"/>
      <w:lang w:val="es-CO"/>
    </w:rPr>
  </w:style>
  <w:style w:type="paragraph" w:customStyle="1" w:styleId="xl67">
    <w:name w:val="xl67"/>
    <w:basedOn w:val="Normal"/>
    <w:rsid w:val="006A37F8"/>
    <w:pPr>
      <w:spacing w:before="100" w:beforeAutospacing="1" w:after="100" w:afterAutospacing="1"/>
      <w:textAlignment w:val="top"/>
    </w:pPr>
    <w:rPr>
      <w:sz w:val="18"/>
      <w:szCs w:val="18"/>
      <w:lang w:val="es-CO"/>
    </w:rPr>
  </w:style>
  <w:style w:type="paragraph" w:customStyle="1" w:styleId="xl68">
    <w:name w:val="xl68"/>
    <w:basedOn w:val="Normal"/>
    <w:rsid w:val="006A37F8"/>
    <w:pPr>
      <w:pBdr>
        <w:top w:val="single" w:sz="4" w:space="0" w:color="auto"/>
        <w:bottom w:val="single" w:sz="4" w:space="0" w:color="auto"/>
      </w:pBdr>
      <w:spacing w:before="100" w:beforeAutospacing="1" w:after="100" w:afterAutospacing="1"/>
      <w:textAlignment w:val="top"/>
    </w:pPr>
    <w:rPr>
      <w:sz w:val="18"/>
      <w:szCs w:val="18"/>
      <w:lang w:val="es-CO"/>
    </w:rPr>
  </w:style>
  <w:style w:type="numbering" w:customStyle="1" w:styleId="Sinlista1">
    <w:name w:val="Sin lista1"/>
    <w:next w:val="Sinlista"/>
    <w:uiPriority w:val="99"/>
    <w:semiHidden/>
    <w:unhideWhenUsed/>
    <w:rsid w:val="006A37F8"/>
  </w:style>
  <w:style w:type="numbering" w:customStyle="1" w:styleId="Sinlista2">
    <w:name w:val="Sin lista2"/>
    <w:next w:val="Sinlista"/>
    <w:uiPriority w:val="99"/>
    <w:semiHidden/>
    <w:unhideWhenUsed/>
    <w:rsid w:val="006A37F8"/>
  </w:style>
  <w:style w:type="table" w:customStyle="1" w:styleId="TableNormal11">
    <w:name w:val="Table Normal11"/>
    <w:uiPriority w:val="2"/>
    <w:semiHidden/>
    <w:unhideWhenUsed/>
    <w:qFormat/>
    <w:rsid w:val="006A37F8"/>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xl65">
    <w:name w:val="xl65"/>
    <w:basedOn w:val="Normal"/>
    <w:rsid w:val="0012440A"/>
    <w:pPr>
      <w:spacing w:before="100" w:beforeAutospacing="1" w:after="100" w:afterAutospacing="1"/>
      <w:jc w:val="center"/>
      <w:textAlignment w:val="top"/>
    </w:pPr>
    <w:rPr>
      <w:b/>
      <w:bCs/>
      <w:sz w:val="18"/>
      <w:szCs w:val="18"/>
      <w:lang w:val="es-CO"/>
    </w:rPr>
  </w:style>
  <w:style w:type="paragraph" w:customStyle="1" w:styleId="xl66">
    <w:name w:val="xl66"/>
    <w:basedOn w:val="Normal"/>
    <w:rsid w:val="0012440A"/>
    <w:pPr>
      <w:spacing w:before="100" w:beforeAutospacing="1" w:after="100" w:afterAutospacing="1"/>
      <w:textAlignment w:val="top"/>
    </w:pPr>
    <w:rPr>
      <w:b/>
      <w:bCs/>
      <w:color w:val="FFFFFF"/>
      <w:sz w:val="18"/>
      <w:szCs w:val="18"/>
      <w:lang w:val="es-CO"/>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tblPr>
      <w:tblStyleRowBandSize w:val="1"/>
      <w:tblStyleColBandSize w:val="1"/>
      <w:tblCellMar>
        <w:left w:w="115" w:type="dxa"/>
        <w:right w:w="115" w:type="dxa"/>
      </w:tblCellMar>
    </w:tblPr>
  </w:style>
  <w:style w:type="table" w:customStyle="1" w:styleId="a8">
    <w:basedOn w:val="TableNormal1"/>
    <w:tblPr>
      <w:tblStyleRowBandSize w:val="1"/>
      <w:tblStyleColBandSize w:val="1"/>
      <w:tblCellMar>
        <w:left w:w="115" w:type="dxa"/>
        <w:right w:w="115" w:type="dxa"/>
      </w:tblCellMar>
    </w:tblPr>
  </w:style>
  <w:style w:type="table" w:customStyle="1" w:styleId="a9">
    <w:basedOn w:val="TableNormal1"/>
    <w:tblPr>
      <w:tblStyleRowBandSize w:val="1"/>
      <w:tblStyleColBandSize w:val="1"/>
      <w:tblCellMar>
        <w:left w:w="115" w:type="dxa"/>
        <w:right w:w="115" w:type="dxa"/>
      </w:tblCellMar>
    </w:tblPr>
  </w:style>
  <w:style w:type="table" w:customStyle="1" w:styleId="aa">
    <w:basedOn w:val="TableNormal1"/>
    <w:tblPr>
      <w:tblStyleRowBandSize w:val="1"/>
      <w:tblStyleColBandSize w:val="1"/>
      <w:tblCellMar>
        <w:left w:w="115" w:type="dxa"/>
        <w:right w:w="115" w:type="dxa"/>
      </w:tblCellMar>
    </w:tblPr>
  </w:style>
  <w:style w:type="table" w:customStyle="1" w:styleId="ab">
    <w:basedOn w:val="TableNormal1"/>
    <w:tblPr>
      <w:tblStyleRowBandSize w:val="1"/>
      <w:tblStyleColBandSize w:val="1"/>
      <w:tblCellMar>
        <w:left w:w="115" w:type="dxa"/>
        <w:right w:w="115" w:type="dxa"/>
      </w:tblCellMar>
    </w:tblPr>
  </w:style>
  <w:style w:type="table" w:customStyle="1" w:styleId="ac">
    <w:basedOn w:val="TableNormal1"/>
    <w:tblPr>
      <w:tblStyleRowBandSize w:val="1"/>
      <w:tblStyleColBandSize w:val="1"/>
      <w:tblCellMar>
        <w:left w:w="115" w:type="dxa"/>
        <w:right w:w="115" w:type="dxa"/>
      </w:tblCellMar>
    </w:tblPr>
  </w:style>
  <w:style w:type="table" w:customStyle="1" w:styleId="ad">
    <w:basedOn w:val="TableNormal1"/>
    <w:tblPr>
      <w:tblStyleRowBandSize w:val="1"/>
      <w:tblStyleColBandSize w:val="1"/>
      <w:tblCellMar>
        <w:left w:w="115" w:type="dxa"/>
        <w:right w:w="115" w:type="dxa"/>
      </w:tblCellMar>
    </w:tblPr>
  </w:style>
  <w:style w:type="table" w:customStyle="1" w:styleId="ae">
    <w:basedOn w:val="TableNormal1"/>
    <w:tblPr>
      <w:tblStyleRowBandSize w:val="1"/>
      <w:tblStyleColBandSize w:val="1"/>
    </w:tblPr>
  </w:style>
  <w:style w:type="table" w:customStyle="1" w:styleId="af">
    <w:basedOn w:val="TableNormal1"/>
    <w:tblPr>
      <w:tblStyleRowBandSize w:val="1"/>
      <w:tblStyleColBandSize w:val="1"/>
    </w:tblPr>
  </w:style>
  <w:style w:type="table" w:customStyle="1" w:styleId="af0">
    <w:basedOn w:val="TableNormal1"/>
    <w:tblPr>
      <w:tblStyleRowBandSize w:val="1"/>
      <w:tblStyleColBandSize w:val="1"/>
    </w:tblPr>
  </w:style>
  <w:style w:type="table" w:customStyle="1" w:styleId="af1">
    <w:basedOn w:val="TableNormal1"/>
    <w:tblPr>
      <w:tblStyleRowBandSize w:val="1"/>
      <w:tblStyleColBandSize w:val="1"/>
    </w:tblPr>
  </w:style>
  <w:style w:type="table" w:customStyle="1" w:styleId="af2">
    <w:basedOn w:val="TableNormal1"/>
    <w:tblPr>
      <w:tblStyleRowBandSize w:val="1"/>
      <w:tblStyleColBandSize w:val="1"/>
    </w:tblPr>
  </w:style>
  <w:style w:type="table" w:customStyle="1" w:styleId="af3">
    <w:basedOn w:val="TableNormal1"/>
    <w:tblPr>
      <w:tblStyleRowBandSize w:val="1"/>
      <w:tblStyleColBandSize w:val="1"/>
    </w:tblPr>
  </w:style>
  <w:style w:type="table" w:customStyle="1" w:styleId="af4">
    <w:basedOn w:val="TableNormal1"/>
    <w:tblPr>
      <w:tblStyleRowBandSize w:val="1"/>
      <w:tblStyleColBandSize w:val="1"/>
    </w:tblPr>
  </w:style>
  <w:style w:type="table" w:customStyle="1" w:styleId="af5">
    <w:basedOn w:val="TableNormal1"/>
    <w:tblPr>
      <w:tblStyleRowBandSize w:val="1"/>
      <w:tblStyleColBandSize w:val="1"/>
    </w:tblPr>
  </w:style>
  <w:style w:type="table" w:customStyle="1" w:styleId="af6">
    <w:basedOn w:val="TableNormal1"/>
    <w:tblPr>
      <w:tblStyleRowBandSize w:val="1"/>
      <w:tblStyleColBandSize w:val="1"/>
    </w:tblPr>
  </w:style>
  <w:style w:type="table" w:customStyle="1" w:styleId="af7">
    <w:basedOn w:val="TableNormal1"/>
    <w:tblPr>
      <w:tblStyleRowBandSize w:val="1"/>
      <w:tblStyleColBandSize w:val="1"/>
    </w:tblPr>
  </w:style>
  <w:style w:type="table" w:customStyle="1" w:styleId="af8">
    <w:basedOn w:val="TableNormal1"/>
    <w:tblPr>
      <w:tblStyleRowBandSize w:val="1"/>
      <w:tblStyleColBandSize w:val="1"/>
    </w:tblPr>
  </w:style>
  <w:style w:type="table" w:customStyle="1" w:styleId="af9">
    <w:basedOn w:val="TableNormal1"/>
    <w:tblPr>
      <w:tblStyleRowBandSize w:val="1"/>
      <w:tblStyleColBandSize w:val="1"/>
    </w:tblPr>
  </w:style>
  <w:style w:type="table" w:customStyle="1" w:styleId="afa">
    <w:basedOn w:val="TableNormal1"/>
    <w:tblPr>
      <w:tblStyleRowBandSize w:val="1"/>
      <w:tblStyleColBandSize w:val="1"/>
    </w:tblPr>
  </w:style>
  <w:style w:type="table" w:customStyle="1" w:styleId="afb">
    <w:basedOn w:val="TableNormal1"/>
    <w:tblPr>
      <w:tblStyleRowBandSize w:val="1"/>
      <w:tblStyleColBandSize w:val="1"/>
    </w:tblPr>
  </w:style>
  <w:style w:type="table" w:customStyle="1" w:styleId="afc">
    <w:basedOn w:val="TableNormal1"/>
    <w:tblPr>
      <w:tblStyleRowBandSize w:val="1"/>
      <w:tblStyleColBandSize w:val="1"/>
    </w:tblPr>
  </w:style>
  <w:style w:type="table" w:customStyle="1" w:styleId="afd">
    <w:basedOn w:val="TableNormal1"/>
    <w:tblPr>
      <w:tblStyleRowBandSize w:val="1"/>
      <w:tblStyleColBandSize w:val="1"/>
    </w:tblPr>
  </w:style>
  <w:style w:type="table" w:customStyle="1" w:styleId="afe">
    <w:basedOn w:val="TableNormal1"/>
    <w:tblPr>
      <w:tblStyleRowBandSize w:val="1"/>
      <w:tblStyleColBandSize w:val="1"/>
    </w:tblPr>
  </w:style>
  <w:style w:type="table" w:customStyle="1" w:styleId="aff">
    <w:basedOn w:val="TableNormal1"/>
    <w:tblPr>
      <w:tblStyleRowBandSize w:val="1"/>
      <w:tblStyleColBandSize w:val="1"/>
    </w:tblPr>
  </w:style>
  <w:style w:type="table" w:customStyle="1" w:styleId="aff0">
    <w:basedOn w:val="TableNormal1"/>
    <w:tblPr>
      <w:tblStyleRowBandSize w:val="1"/>
      <w:tblStyleColBandSize w:val="1"/>
    </w:tblPr>
  </w:style>
  <w:style w:type="table" w:customStyle="1" w:styleId="aff1">
    <w:basedOn w:val="TableNormal1"/>
    <w:tblPr>
      <w:tblStyleRowBandSize w:val="1"/>
      <w:tblStyleColBandSize w:val="1"/>
    </w:tblPr>
  </w:style>
  <w:style w:type="table" w:customStyle="1" w:styleId="aff2">
    <w:basedOn w:val="TableNormal1"/>
    <w:tblPr>
      <w:tblStyleRowBandSize w:val="1"/>
      <w:tblStyleColBandSize w:val="1"/>
    </w:tblPr>
  </w:style>
  <w:style w:type="table" w:customStyle="1" w:styleId="aff3">
    <w:basedOn w:val="TableNormal1"/>
    <w:tblPr>
      <w:tblStyleRowBandSize w:val="1"/>
      <w:tblStyleColBandSize w:val="1"/>
    </w:tblPr>
  </w:style>
  <w:style w:type="table" w:customStyle="1" w:styleId="aff4">
    <w:basedOn w:val="TableNormal1"/>
    <w:tblPr>
      <w:tblStyleRowBandSize w:val="1"/>
      <w:tblStyleColBandSize w:val="1"/>
    </w:tblPr>
  </w:style>
  <w:style w:type="table" w:customStyle="1" w:styleId="aff5">
    <w:basedOn w:val="TableNormal1"/>
    <w:tblPr>
      <w:tblStyleRowBandSize w:val="1"/>
      <w:tblStyleColBandSize w:val="1"/>
    </w:tblPr>
  </w:style>
  <w:style w:type="table" w:customStyle="1" w:styleId="aff6">
    <w:basedOn w:val="TableNormal1"/>
    <w:tblPr>
      <w:tblStyleRowBandSize w:val="1"/>
      <w:tblStyleColBandSize w:val="1"/>
    </w:tblPr>
  </w:style>
  <w:style w:type="table" w:customStyle="1" w:styleId="aff7">
    <w:basedOn w:val="TableNormal1"/>
    <w:tblPr>
      <w:tblStyleRowBandSize w:val="1"/>
      <w:tblStyleColBandSize w:val="1"/>
    </w:tblPr>
  </w:style>
  <w:style w:type="table" w:customStyle="1" w:styleId="aff8">
    <w:basedOn w:val="TableNormal1"/>
    <w:tblPr>
      <w:tblStyleRowBandSize w:val="1"/>
      <w:tblStyleColBandSize w:val="1"/>
    </w:tblPr>
  </w:style>
  <w:style w:type="table" w:customStyle="1" w:styleId="aff9">
    <w:basedOn w:val="TableNormal1"/>
    <w:tblPr>
      <w:tblStyleRowBandSize w:val="1"/>
      <w:tblStyleColBandSize w:val="1"/>
    </w:tblPr>
  </w:style>
  <w:style w:type="table" w:customStyle="1" w:styleId="affa">
    <w:basedOn w:val="TableNormal1"/>
    <w:tblPr>
      <w:tblStyleRowBandSize w:val="1"/>
      <w:tblStyleColBandSize w:val="1"/>
    </w:tblPr>
  </w:style>
  <w:style w:type="table" w:customStyle="1" w:styleId="affb">
    <w:basedOn w:val="TableNormal1"/>
    <w:tblPr>
      <w:tblStyleRowBandSize w:val="1"/>
      <w:tblStyleColBandSize w:val="1"/>
    </w:tblPr>
  </w:style>
  <w:style w:type="table" w:customStyle="1" w:styleId="affc">
    <w:basedOn w:val="TableNormal1"/>
    <w:tblPr>
      <w:tblStyleRowBandSize w:val="1"/>
      <w:tblStyleColBandSize w:val="1"/>
    </w:tblPr>
  </w:style>
  <w:style w:type="table" w:customStyle="1" w:styleId="affd">
    <w:basedOn w:val="TableNormal1"/>
    <w:tblPr>
      <w:tblStyleRowBandSize w:val="1"/>
      <w:tblStyleColBandSize w:val="1"/>
    </w:tblPr>
  </w:style>
  <w:style w:type="table" w:customStyle="1" w:styleId="affe">
    <w:basedOn w:val="TableNormal1"/>
    <w:tblPr>
      <w:tblStyleRowBandSize w:val="1"/>
      <w:tblStyleColBandSize w:val="1"/>
    </w:tblPr>
  </w:style>
  <w:style w:type="table" w:customStyle="1" w:styleId="afff">
    <w:basedOn w:val="TableNormal1"/>
    <w:tblPr>
      <w:tblStyleRowBandSize w:val="1"/>
      <w:tblStyleColBandSize w:val="1"/>
    </w:tblPr>
  </w:style>
  <w:style w:type="table" w:customStyle="1" w:styleId="afff0">
    <w:basedOn w:val="TableNormal1"/>
    <w:tblPr>
      <w:tblStyleRowBandSize w:val="1"/>
      <w:tblStyleColBandSize w:val="1"/>
    </w:tblPr>
  </w:style>
  <w:style w:type="table" w:customStyle="1" w:styleId="afff1">
    <w:basedOn w:val="TableNormal1"/>
    <w:tblPr>
      <w:tblStyleRowBandSize w:val="1"/>
      <w:tblStyleColBandSize w:val="1"/>
    </w:tblPr>
  </w:style>
  <w:style w:type="table" w:customStyle="1" w:styleId="afff2">
    <w:basedOn w:val="TableNormal1"/>
    <w:tblPr>
      <w:tblStyleRowBandSize w:val="1"/>
      <w:tblStyleColBandSize w:val="1"/>
    </w:tblPr>
  </w:style>
  <w:style w:type="table" w:customStyle="1" w:styleId="afff3">
    <w:basedOn w:val="TableNormal1"/>
    <w:tblPr>
      <w:tblStyleRowBandSize w:val="1"/>
      <w:tblStyleColBandSize w:val="1"/>
    </w:tblPr>
  </w:style>
  <w:style w:type="table" w:customStyle="1" w:styleId="afff4">
    <w:basedOn w:val="TableNormal1"/>
    <w:tblPr>
      <w:tblStyleRowBandSize w:val="1"/>
      <w:tblStyleColBandSize w:val="1"/>
    </w:tblPr>
  </w:style>
  <w:style w:type="table" w:customStyle="1" w:styleId="afff5">
    <w:basedOn w:val="TableNormal1"/>
    <w:tblPr>
      <w:tblStyleRowBandSize w:val="1"/>
      <w:tblStyleColBandSize w:val="1"/>
    </w:tblPr>
  </w:style>
  <w:style w:type="table" w:customStyle="1" w:styleId="afff6">
    <w:basedOn w:val="TableNormal1"/>
    <w:tblPr>
      <w:tblStyleRowBandSize w:val="1"/>
      <w:tblStyleColBandSize w:val="1"/>
    </w:tblPr>
  </w:style>
  <w:style w:type="table" w:customStyle="1" w:styleId="afff7">
    <w:basedOn w:val="TableNormal1"/>
    <w:tblPr>
      <w:tblStyleRowBandSize w:val="1"/>
      <w:tblStyleColBandSize w:val="1"/>
    </w:tblPr>
  </w:style>
  <w:style w:type="table" w:customStyle="1" w:styleId="afff8">
    <w:basedOn w:val="TableNormal1"/>
    <w:tblPr>
      <w:tblStyleRowBandSize w:val="1"/>
      <w:tblStyleColBandSize w:val="1"/>
    </w:tblPr>
  </w:style>
  <w:style w:type="table" w:customStyle="1" w:styleId="afff9">
    <w:basedOn w:val="TableNormal1"/>
    <w:tblPr>
      <w:tblStyleRowBandSize w:val="1"/>
      <w:tblStyleColBandSize w:val="1"/>
    </w:tblPr>
  </w:style>
  <w:style w:type="table" w:customStyle="1" w:styleId="afffa">
    <w:basedOn w:val="TableNormal1"/>
    <w:tblPr>
      <w:tblStyleRowBandSize w:val="1"/>
      <w:tblStyleColBandSize w:val="1"/>
    </w:tblPr>
  </w:style>
  <w:style w:type="table" w:customStyle="1" w:styleId="afffb">
    <w:basedOn w:val="TableNormal1"/>
    <w:tblPr>
      <w:tblStyleRowBandSize w:val="1"/>
      <w:tblStyleColBandSize w:val="1"/>
    </w:tblPr>
  </w:style>
  <w:style w:type="table" w:customStyle="1" w:styleId="afffc">
    <w:basedOn w:val="TableNormal1"/>
    <w:tblPr>
      <w:tblStyleRowBandSize w:val="1"/>
      <w:tblStyleColBandSize w:val="1"/>
    </w:tblPr>
  </w:style>
  <w:style w:type="table" w:customStyle="1" w:styleId="afffd">
    <w:basedOn w:val="TableNormal1"/>
    <w:tblPr>
      <w:tblStyleRowBandSize w:val="1"/>
      <w:tblStyleColBandSize w:val="1"/>
    </w:tblPr>
  </w:style>
  <w:style w:type="table" w:customStyle="1" w:styleId="afffe">
    <w:basedOn w:val="TableNormal1"/>
    <w:tblPr>
      <w:tblStyleRowBandSize w:val="1"/>
      <w:tblStyleColBandSize w:val="1"/>
    </w:tblPr>
  </w:style>
  <w:style w:type="table" w:customStyle="1" w:styleId="affff">
    <w:basedOn w:val="TableNormal1"/>
    <w:tblPr>
      <w:tblStyleRowBandSize w:val="1"/>
      <w:tblStyleColBandSize w:val="1"/>
    </w:tblPr>
  </w:style>
  <w:style w:type="table" w:customStyle="1" w:styleId="affff0">
    <w:basedOn w:val="TableNormal1"/>
    <w:tblPr>
      <w:tblStyleRowBandSize w:val="1"/>
      <w:tblStyleColBandSize w:val="1"/>
    </w:tblPr>
  </w:style>
  <w:style w:type="table" w:customStyle="1" w:styleId="affff1">
    <w:basedOn w:val="TableNormal1"/>
    <w:tblPr>
      <w:tblStyleRowBandSize w:val="1"/>
      <w:tblStyleColBandSize w:val="1"/>
    </w:tblPr>
  </w:style>
  <w:style w:type="table" w:customStyle="1" w:styleId="affff2">
    <w:basedOn w:val="TableNormal1"/>
    <w:tblPr>
      <w:tblStyleRowBandSize w:val="1"/>
      <w:tblStyleColBandSize w:val="1"/>
    </w:tblPr>
  </w:style>
  <w:style w:type="table" w:customStyle="1" w:styleId="affff3">
    <w:basedOn w:val="TableNormal1"/>
    <w:tblPr>
      <w:tblStyleRowBandSize w:val="1"/>
      <w:tblStyleColBandSize w:val="1"/>
    </w:tblPr>
  </w:style>
  <w:style w:type="table" w:customStyle="1" w:styleId="affff4">
    <w:basedOn w:val="TableNormal1"/>
    <w:tblPr>
      <w:tblStyleRowBandSize w:val="1"/>
      <w:tblStyleColBandSize w:val="1"/>
    </w:tblPr>
  </w:style>
  <w:style w:type="table" w:customStyle="1" w:styleId="affff5">
    <w:basedOn w:val="TableNormal1"/>
    <w:tblPr>
      <w:tblStyleRowBandSize w:val="1"/>
      <w:tblStyleColBandSize w:val="1"/>
    </w:tblPr>
  </w:style>
  <w:style w:type="table" w:customStyle="1" w:styleId="affff6">
    <w:basedOn w:val="TableNormal1"/>
    <w:tblPr>
      <w:tblStyleRowBandSize w:val="1"/>
      <w:tblStyleColBandSize w:val="1"/>
    </w:tblPr>
  </w:style>
  <w:style w:type="table" w:customStyle="1" w:styleId="affff7">
    <w:basedOn w:val="TableNormal1"/>
    <w:tblPr>
      <w:tblStyleRowBandSize w:val="1"/>
      <w:tblStyleColBandSize w:val="1"/>
    </w:tblPr>
  </w:style>
  <w:style w:type="table" w:customStyle="1" w:styleId="affff8">
    <w:basedOn w:val="TableNormal1"/>
    <w:tblPr>
      <w:tblStyleRowBandSize w:val="1"/>
      <w:tblStyleColBandSize w:val="1"/>
    </w:tblPr>
  </w:style>
  <w:style w:type="table" w:customStyle="1" w:styleId="affff9">
    <w:basedOn w:val="TableNormal1"/>
    <w:tblPr>
      <w:tblStyleRowBandSize w:val="1"/>
      <w:tblStyleColBandSize w:val="1"/>
      <w:tblCellMar>
        <w:left w:w="115" w:type="dxa"/>
        <w:right w:w="115" w:type="dxa"/>
      </w:tblCellMar>
    </w:tblPr>
  </w:style>
  <w:style w:type="table" w:customStyle="1" w:styleId="affffa">
    <w:basedOn w:val="TableNormal1"/>
    <w:tblPr>
      <w:tblStyleRowBandSize w:val="1"/>
      <w:tblStyleColBandSize w:val="1"/>
    </w:tblPr>
  </w:style>
  <w:style w:type="table" w:customStyle="1" w:styleId="affffb">
    <w:basedOn w:val="TableNormal1"/>
    <w:tblPr>
      <w:tblStyleRowBandSize w:val="1"/>
      <w:tblStyleColBandSize w:val="1"/>
    </w:tblPr>
  </w:style>
  <w:style w:type="table" w:customStyle="1" w:styleId="affffc">
    <w:basedOn w:val="TableNormal1"/>
    <w:tblPr>
      <w:tblStyleRowBandSize w:val="1"/>
      <w:tblStyleColBandSize w:val="1"/>
      <w:tblCellMar>
        <w:left w:w="70" w:type="dxa"/>
        <w:right w:w="70" w:type="dxa"/>
      </w:tblCellMar>
    </w:tblPr>
  </w:style>
  <w:style w:type="table" w:customStyle="1" w:styleId="affffd">
    <w:basedOn w:val="TableNormal1"/>
    <w:tblPr>
      <w:tblStyleRowBandSize w:val="1"/>
      <w:tblStyleColBandSize w:val="1"/>
      <w:tblCellMar>
        <w:left w:w="70" w:type="dxa"/>
        <w:right w:w="70" w:type="dxa"/>
      </w:tblCellMar>
    </w:tblPr>
  </w:style>
  <w:style w:type="table" w:customStyle="1" w:styleId="affffe">
    <w:basedOn w:val="TableNormal1"/>
    <w:tblPr>
      <w:tblStyleRowBandSize w:val="1"/>
      <w:tblStyleColBandSize w:val="1"/>
      <w:tblCellMar>
        <w:left w:w="70" w:type="dxa"/>
        <w:right w:w="70" w:type="dxa"/>
      </w:tblCellMar>
    </w:tblPr>
  </w:style>
  <w:style w:type="table" w:customStyle="1" w:styleId="afffff">
    <w:basedOn w:val="TableNormal1"/>
    <w:tblPr>
      <w:tblStyleRowBandSize w:val="1"/>
      <w:tblStyleColBandSize w:val="1"/>
      <w:tblCellMar>
        <w:left w:w="70" w:type="dxa"/>
        <w:right w:w="70" w:type="dxa"/>
      </w:tblCellMar>
    </w:tblPr>
  </w:style>
  <w:style w:type="table" w:customStyle="1" w:styleId="afffff0">
    <w:basedOn w:val="TableNormal1"/>
    <w:tblPr>
      <w:tblStyleRowBandSize w:val="1"/>
      <w:tblStyleColBandSize w:val="1"/>
      <w:tblCellMar>
        <w:left w:w="70" w:type="dxa"/>
        <w:right w:w="70" w:type="dxa"/>
      </w:tblCellMar>
    </w:tblPr>
  </w:style>
  <w:style w:type="table" w:customStyle="1" w:styleId="afffff1">
    <w:basedOn w:val="TableNormal1"/>
    <w:tblPr>
      <w:tblStyleRowBandSize w:val="1"/>
      <w:tblStyleColBandSize w:val="1"/>
      <w:tblCellMar>
        <w:left w:w="70" w:type="dxa"/>
        <w:right w:w="70" w:type="dxa"/>
      </w:tblCellMar>
    </w:tblPr>
  </w:style>
  <w:style w:type="table" w:customStyle="1" w:styleId="afffff2">
    <w:basedOn w:val="TableNormal1"/>
    <w:tblPr>
      <w:tblStyleRowBandSize w:val="1"/>
      <w:tblStyleColBandSize w:val="1"/>
      <w:tblCellMar>
        <w:left w:w="70" w:type="dxa"/>
        <w:right w:w="70" w:type="dxa"/>
      </w:tblCellMar>
    </w:tblPr>
  </w:style>
  <w:style w:type="table" w:customStyle="1" w:styleId="afffff3">
    <w:basedOn w:val="TableNormal1"/>
    <w:tblPr>
      <w:tblStyleRowBandSize w:val="1"/>
      <w:tblStyleColBandSize w:val="1"/>
      <w:tblCellMar>
        <w:left w:w="70" w:type="dxa"/>
        <w:right w:w="70" w:type="dxa"/>
      </w:tblCellMar>
    </w:tblPr>
  </w:style>
  <w:style w:type="table" w:customStyle="1" w:styleId="afffff4">
    <w:basedOn w:val="TableNormal1"/>
    <w:tblPr>
      <w:tblStyleRowBandSize w:val="1"/>
      <w:tblStyleColBandSize w:val="1"/>
      <w:tblCellMar>
        <w:left w:w="70" w:type="dxa"/>
        <w:right w:w="70" w:type="dxa"/>
      </w:tblCellMar>
    </w:tblPr>
  </w:style>
  <w:style w:type="table" w:customStyle="1" w:styleId="afffff5">
    <w:basedOn w:val="TableNormal1"/>
    <w:tblPr>
      <w:tblStyleRowBandSize w:val="1"/>
      <w:tblStyleColBandSize w:val="1"/>
      <w:tblCellMar>
        <w:left w:w="70" w:type="dxa"/>
        <w:right w:w="70" w:type="dxa"/>
      </w:tblCellMar>
    </w:tblPr>
  </w:style>
  <w:style w:type="paragraph" w:styleId="Subttulo">
    <w:name w:val="Subtitle"/>
    <w:basedOn w:val="Normal"/>
    <w:next w:val="Normal"/>
    <w:pPr>
      <w:keepNext/>
      <w:spacing w:before="60" w:after="120"/>
      <w:jc w:val="center"/>
    </w:pPr>
    <w:rPr>
      <w:rFonts w:ascii="Liberation Sans" w:eastAsia="Liberation Sans" w:hAnsi="Liberation Sans" w:cs="Liberation Sans"/>
      <w:color w:val="000000"/>
      <w:sz w:val="36"/>
      <w:szCs w:val="36"/>
    </w:rPr>
  </w:style>
  <w:style w:type="table" w:customStyle="1" w:styleId="afffff6">
    <w:basedOn w:val="TableNormal1"/>
    <w:rPr>
      <w:rFonts w:ascii="Calibri" w:eastAsia="Calibri" w:hAnsi="Calibri" w:cs="Calibri"/>
    </w:rPr>
    <w:tblPr>
      <w:tblStyleRowBandSize w:val="1"/>
      <w:tblStyleColBandSize w:val="1"/>
    </w:tblPr>
  </w:style>
  <w:style w:type="table" w:customStyle="1" w:styleId="afffff7">
    <w:basedOn w:val="TableNormal1"/>
    <w:rPr>
      <w:rFonts w:ascii="Calibri" w:eastAsia="Calibri" w:hAnsi="Calibri" w:cs="Calibri"/>
    </w:rPr>
    <w:tblPr>
      <w:tblStyleRowBandSize w:val="1"/>
      <w:tblStyleColBandSize w:val="1"/>
    </w:tblPr>
  </w:style>
  <w:style w:type="table" w:customStyle="1" w:styleId="afffff8">
    <w:basedOn w:val="TableNormal1"/>
    <w:rPr>
      <w:rFonts w:ascii="Calibri" w:eastAsia="Calibri" w:hAnsi="Calibri" w:cs="Calibri"/>
    </w:rPr>
    <w:tblPr>
      <w:tblStyleRowBandSize w:val="1"/>
      <w:tblStyleColBandSize w:val="1"/>
    </w:tblPr>
  </w:style>
  <w:style w:type="table" w:customStyle="1" w:styleId="afffff9">
    <w:basedOn w:val="TableNormal1"/>
    <w:rPr>
      <w:rFonts w:ascii="Calibri" w:eastAsia="Calibri" w:hAnsi="Calibri" w:cs="Calibri"/>
    </w:rPr>
    <w:tblPr>
      <w:tblStyleRowBandSize w:val="1"/>
      <w:tblStyleColBandSize w:val="1"/>
    </w:tblPr>
  </w:style>
  <w:style w:type="table" w:customStyle="1" w:styleId="afffffa">
    <w:basedOn w:val="TableNormal1"/>
    <w:rPr>
      <w:rFonts w:ascii="Calibri" w:eastAsia="Calibri" w:hAnsi="Calibri" w:cs="Calibri"/>
    </w:rPr>
    <w:tblPr>
      <w:tblStyleRowBandSize w:val="1"/>
      <w:tblStyleColBandSize w:val="1"/>
    </w:tblPr>
  </w:style>
  <w:style w:type="table" w:customStyle="1" w:styleId="afffffb">
    <w:basedOn w:val="TableNormal1"/>
    <w:rPr>
      <w:rFonts w:ascii="Calibri" w:eastAsia="Calibri" w:hAnsi="Calibri" w:cs="Calibri"/>
    </w:rPr>
    <w:tblPr>
      <w:tblStyleRowBandSize w:val="1"/>
      <w:tblStyleColBandSize w:val="1"/>
    </w:tblPr>
  </w:style>
  <w:style w:type="table" w:customStyle="1" w:styleId="afffffc">
    <w:basedOn w:val="TableNormal1"/>
    <w:rPr>
      <w:rFonts w:ascii="Calibri" w:eastAsia="Calibri" w:hAnsi="Calibri" w:cs="Calibri"/>
    </w:rPr>
    <w:tblPr>
      <w:tblStyleRowBandSize w:val="1"/>
      <w:tblStyleColBandSize w:val="1"/>
    </w:tblPr>
  </w:style>
  <w:style w:type="table" w:customStyle="1" w:styleId="afffffd">
    <w:basedOn w:val="TableNormal1"/>
    <w:rPr>
      <w:rFonts w:ascii="Calibri" w:eastAsia="Calibri" w:hAnsi="Calibri" w:cs="Calibri"/>
    </w:rPr>
    <w:tblPr>
      <w:tblStyleRowBandSize w:val="1"/>
      <w:tblStyleColBandSize w:val="1"/>
    </w:tblPr>
  </w:style>
  <w:style w:type="table" w:customStyle="1" w:styleId="afffffe">
    <w:basedOn w:val="TableNormal1"/>
    <w:rPr>
      <w:rFonts w:ascii="Calibri" w:eastAsia="Calibri" w:hAnsi="Calibri" w:cs="Calibri"/>
    </w:rPr>
    <w:tblPr>
      <w:tblStyleRowBandSize w:val="1"/>
      <w:tblStyleColBandSize w:val="1"/>
    </w:tblPr>
  </w:style>
  <w:style w:type="table" w:customStyle="1" w:styleId="affffff">
    <w:basedOn w:val="TableNormal1"/>
    <w:rPr>
      <w:rFonts w:ascii="Calibri" w:eastAsia="Calibri" w:hAnsi="Calibri" w:cs="Calibri"/>
    </w:rPr>
    <w:tblPr>
      <w:tblStyleRowBandSize w:val="1"/>
      <w:tblStyleColBandSize w:val="1"/>
    </w:tblPr>
  </w:style>
  <w:style w:type="table" w:customStyle="1" w:styleId="affffff0">
    <w:basedOn w:val="TableNormal1"/>
    <w:rPr>
      <w:rFonts w:ascii="Calibri" w:eastAsia="Calibri" w:hAnsi="Calibri" w:cs="Calibri"/>
    </w:rPr>
    <w:tblPr>
      <w:tblStyleRowBandSize w:val="1"/>
      <w:tblStyleColBandSize w:val="1"/>
    </w:tblPr>
  </w:style>
  <w:style w:type="table" w:customStyle="1" w:styleId="affffff1">
    <w:basedOn w:val="TableNormal1"/>
    <w:rPr>
      <w:rFonts w:ascii="Calibri" w:eastAsia="Calibri" w:hAnsi="Calibri" w:cs="Calibri"/>
    </w:rPr>
    <w:tblPr>
      <w:tblStyleRowBandSize w:val="1"/>
      <w:tblStyleColBandSize w:val="1"/>
    </w:tblPr>
  </w:style>
  <w:style w:type="table" w:customStyle="1" w:styleId="affffff2">
    <w:basedOn w:val="TableNormal1"/>
    <w:rPr>
      <w:rFonts w:ascii="Calibri" w:eastAsia="Calibri" w:hAnsi="Calibri" w:cs="Calibri"/>
    </w:rPr>
    <w:tblPr>
      <w:tblStyleRowBandSize w:val="1"/>
      <w:tblStyleColBandSize w:val="1"/>
    </w:tblPr>
  </w:style>
  <w:style w:type="table" w:customStyle="1" w:styleId="affffff3">
    <w:basedOn w:val="TableNormal1"/>
    <w:rPr>
      <w:rFonts w:ascii="Calibri" w:eastAsia="Calibri" w:hAnsi="Calibri" w:cs="Calibri"/>
    </w:rPr>
    <w:tblPr>
      <w:tblStyleRowBandSize w:val="1"/>
      <w:tblStyleColBandSize w:val="1"/>
    </w:tblPr>
  </w:style>
  <w:style w:type="table" w:customStyle="1" w:styleId="affffff4">
    <w:basedOn w:val="TableNormal1"/>
    <w:rPr>
      <w:rFonts w:ascii="Calibri" w:eastAsia="Calibri" w:hAnsi="Calibri" w:cs="Calibri"/>
    </w:rPr>
    <w:tblPr>
      <w:tblStyleRowBandSize w:val="1"/>
      <w:tblStyleColBandSize w:val="1"/>
    </w:tblPr>
  </w:style>
  <w:style w:type="table" w:customStyle="1" w:styleId="affffff5">
    <w:basedOn w:val="TableNormal1"/>
    <w:rPr>
      <w:rFonts w:ascii="Calibri" w:eastAsia="Calibri" w:hAnsi="Calibri" w:cs="Calibri"/>
    </w:rPr>
    <w:tblPr>
      <w:tblStyleRowBandSize w:val="1"/>
      <w:tblStyleColBandSize w:val="1"/>
    </w:tblPr>
  </w:style>
  <w:style w:type="table" w:customStyle="1" w:styleId="affffff6">
    <w:basedOn w:val="TableNormal1"/>
    <w:rPr>
      <w:rFonts w:ascii="Calibri" w:eastAsia="Calibri" w:hAnsi="Calibri" w:cs="Calibri"/>
    </w:rPr>
    <w:tblPr>
      <w:tblStyleRowBandSize w:val="1"/>
      <w:tblStyleColBandSize w:val="1"/>
    </w:tblPr>
  </w:style>
  <w:style w:type="table" w:customStyle="1" w:styleId="affffff7">
    <w:basedOn w:val="TableNormal1"/>
    <w:rPr>
      <w:rFonts w:ascii="Calibri" w:eastAsia="Calibri" w:hAnsi="Calibri" w:cs="Calibri"/>
    </w:rPr>
    <w:tblPr>
      <w:tblStyleRowBandSize w:val="1"/>
      <w:tblStyleColBandSize w:val="1"/>
    </w:tblPr>
  </w:style>
  <w:style w:type="table" w:customStyle="1" w:styleId="affffff8">
    <w:basedOn w:val="TableNormal1"/>
    <w:rPr>
      <w:rFonts w:ascii="Calibri" w:eastAsia="Calibri" w:hAnsi="Calibri" w:cs="Calibri"/>
    </w:rPr>
    <w:tblPr>
      <w:tblStyleRowBandSize w:val="1"/>
      <w:tblStyleColBandSize w:val="1"/>
    </w:tblPr>
  </w:style>
  <w:style w:type="table" w:customStyle="1" w:styleId="affffff9">
    <w:basedOn w:val="TableNormal1"/>
    <w:rPr>
      <w:rFonts w:ascii="Calibri" w:eastAsia="Calibri" w:hAnsi="Calibri" w:cs="Calibri"/>
    </w:rPr>
    <w:tblPr>
      <w:tblStyleRowBandSize w:val="1"/>
      <w:tblStyleColBandSize w:val="1"/>
    </w:tblPr>
  </w:style>
  <w:style w:type="table" w:customStyle="1" w:styleId="affffffa">
    <w:basedOn w:val="TableNormal1"/>
    <w:rPr>
      <w:rFonts w:ascii="Calibri" w:eastAsia="Calibri" w:hAnsi="Calibri" w:cs="Calibri"/>
    </w:rPr>
    <w:tblPr>
      <w:tblStyleRowBandSize w:val="1"/>
      <w:tblStyleColBandSize w:val="1"/>
    </w:tblPr>
  </w:style>
  <w:style w:type="table" w:customStyle="1" w:styleId="affffffb">
    <w:basedOn w:val="TableNormal1"/>
    <w:rPr>
      <w:rFonts w:ascii="Calibri" w:eastAsia="Calibri" w:hAnsi="Calibri" w:cs="Calibri"/>
    </w:rPr>
    <w:tblPr>
      <w:tblStyleRowBandSize w:val="1"/>
      <w:tblStyleColBandSize w:val="1"/>
    </w:tblPr>
  </w:style>
  <w:style w:type="table" w:customStyle="1" w:styleId="affffffc">
    <w:basedOn w:val="TableNormal1"/>
    <w:rPr>
      <w:rFonts w:ascii="Calibri" w:eastAsia="Calibri" w:hAnsi="Calibri" w:cs="Calibri"/>
    </w:rPr>
    <w:tblPr>
      <w:tblStyleRowBandSize w:val="1"/>
      <w:tblStyleColBandSize w:val="1"/>
    </w:tblPr>
  </w:style>
  <w:style w:type="table" w:customStyle="1" w:styleId="affffffd">
    <w:basedOn w:val="TableNormal1"/>
    <w:rPr>
      <w:rFonts w:ascii="Calibri" w:eastAsia="Calibri" w:hAnsi="Calibri" w:cs="Calibri"/>
    </w:rPr>
    <w:tblPr>
      <w:tblStyleRowBandSize w:val="1"/>
      <w:tblStyleColBandSize w:val="1"/>
    </w:tblPr>
  </w:style>
  <w:style w:type="table" w:customStyle="1" w:styleId="affffffe">
    <w:basedOn w:val="TableNormal1"/>
    <w:rPr>
      <w:rFonts w:ascii="Calibri" w:eastAsia="Calibri" w:hAnsi="Calibri" w:cs="Calibri"/>
    </w:rPr>
    <w:tblPr>
      <w:tblStyleRowBandSize w:val="1"/>
      <w:tblStyleColBandSize w:val="1"/>
    </w:tblPr>
  </w:style>
  <w:style w:type="table" w:customStyle="1" w:styleId="afffffff">
    <w:basedOn w:val="TableNormal1"/>
    <w:rPr>
      <w:rFonts w:ascii="Calibri" w:eastAsia="Calibri" w:hAnsi="Calibri" w:cs="Calibri"/>
    </w:rPr>
    <w:tblPr>
      <w:tblStyleRowBandSize w:val="1"/>
      <w:tblStyleColBandSize w:val="1"/>
    </w:tblPr>
  </w:style>
  <w:style w:type="table" w:customStyle="1" w:styleId="afffffff0">
    <w:basedOn w:val="TableNormal1"/>
    <w:rPr>
      <w:rFonts w:ascii="Calibri" w:eastAsia="Calibri" w:hAnsi="Calibri" w:cs="Calibri"/>
    </w:rPr>
    <w:tblPr>
      <w:tblStyleRowBandSize w:val="1"/>
      <w:tblStyleColBandSize w:val="1"/>
    </w:tblPr>
  </w:style>
  <w:style w:type="table" w:customStyle="1" w:styleId="afffffff1">
    <w:basedOn w:val="TableNormal1"/>
    <w:rPr>
      <w:rFonts w:ascii="Calibri" w:eastAsia="Calibri" w:hAnsi="Calibri" w:cs="Calibri"/>
    </w:rPr>
    <w:tblPr>
      <w:tblStyleRowBandSize w:val="1"/>
      <w:tblStyleColBandSize w:val="1"/>
    </w:tblPr>
  </w:style>
  <w:style w:type="table" w:customStyle="1" w:styleId="afffffff2">
    <w:basedOn w:val="TableNormal1"/>
    <w:rPr>
      <w:rFonts w:ascii="Calibri" w:eastAsia="Calibri" w:hAnsi="Calibri" w:cs="Calibri"/>
    </w:rPr>
    <w:tblPr>
      <w:tblStyleRowBandSize w:val="1"/>
      <w:tblStyleColBandSize w:val="1"/>
    </w:tblPr>
  </w:style>
  <w:style w:type="table" w:customStyle="1" w:styleId="afffffff3">
    <w:basedOn w:val="TableNormal1"/>
    <w:rPr>
      <w:rFonts w:ascii="Calibri" w:eastAsia="Calibri" w:hAnsi="Calibri" w:cs="Calibri"/>
    </w:rPr>
    <w:tblPr>
      <w:tblStyleRowBandSize w:val="1"/>
      <w:tblStyleColBandSize w:val="1"/>
    </w:tblPr>
  </w:style>
  <w:style w:type="table" w:customStyle="1" w:styleId="afffffff4">
    <w:basedOn w:val="TableNormal1"/>
    <w:rPr>
      <w:rFonts w:ascii="Calibri" w:eastAsia="Calibri" w:hAnsi="Calibri" w:cs="Calibri"/>
    </w:rPr>
    <w:tblPr>
      <w:tblStyleRowBandSize w:val="1"/>
      <w:tblStyleColBandSize w:val="1"/>
    </w:tblPr>
  </w:style>
  <w:style w:type="table" w:customStyle="1" w:styleId="afffffff5">
    <w:basedOn w:val="TableNormal1"/>
    <w:rPr>
      <w:rFonts w:ascii="Calibri" w:eastAsia="Calibri" w:hAnsi="Calibri" w:cs="Calibri"/>
    </w:rPr>
    <w:tblPr>
      <w:tblStyleRowBandSize w:val="1"/>
      <w:tblStyleColBandSize w:val="1"/>
    </w:tblPr>
  </w:style>
  <w:style w:type="table" w:customStyle="1" w:styleId="afffffff6">
    <w:basedOn w:val="TableNormal1"/>
    <w:rPr>
      <w:rFonts w:ascii="Calibri" w:eastAsia="Calibri" w:hAnsi="Calibri" w:cs="Calibri"/>
    </w:rPr>
    <w:tblPr>
      <w:tblStyleRowBandSize w:val="1"/>
      <w:tblStyleColBandSize w:val="1"/>
    </w:tblPr>
  </w:style>
  <w:style w:type="table" w:customStyle="1" w:styleId="afffffff7">
    <w:basedOn w:val="TableNormal1"/>
    <w:rPr>
      <w:rFonts w:ascii="Calibri" w:eastAsia="Calibri" w:hAnsi="Calibri" w:cs="Calibri"/>
    </w:rPr>
    <w:tblPr>
      <w:tblStyleRowBandSize w:val="1"/>
      <w:tblStyleColBandSize w:val="1"/>
    </w:tblPr>
  </w:style>
  <w:style w:type="table" w:customStyle="1" w:styleId="afffffff8">
    <w:basedOn w:val="TableNormal1"/>
    <w:rPr>
      <w:rFonts w:ascii="Calibri" w:eastAsia="Calibri" w:hAnsi="Calibri" w:cs="Calibri"/>
    </w:rPr>
    <w:tblPr>
      <w:tblStyleRowBandSize w:val="1"/>
      <w:tblStyleColBandSize w:val="1"/>
    </w:tblPr>
  </w:style>
  <w:style w:type="table" w:customStyle="1" w:styleId="afffffff9">
    <w:basedOn w:val="TableNormal1"/>
    <w:rPr>
      <w:rFonts w:ascii="Calibri" w:eastAsia="Calibri" w:hAnsi="Calibri" w:cs="Calibri"/>
    </w:rPr>
    <w:tblPr>
      <w:tblStyleRowBandSize w:val="1"/>
      <w:tblStyleColBandSize w:val="1"/>
    </w:tblPr>
  </w:style>
  <w:style w:type="table" w:customStyle="1" w:styleId="afffffffa">
    <w:basedOn w:val="TableNormal1"/>
    <w:rPr>
      <w:rFonts w:ascii="Calibri" w:eastAsia="Calibri" w:hAnsi="Calibri" w:cs="Calibri"/>
    </w:rPr>
    <w:tblPr>
      <w:tblStyleRowBandSize w:val="1"/>
      <w:tblStyleColBandSize w:val="1"/>
    </w:tblPr>
  </w:style>
  <w:style w:type="table" w:customStyle="1" w:styleId="afffffffb">
    <w:basedOn w:val="TableNormal1"/>
    <w:rPr>
      <w:rFonts w:ascii="Calibri" w:eastAsia="Calibri" w:hAnsi="Calibri" w:cs="Calibri"/>
    </w:rPr>
    <w:tblPr>
      <w:tblStyleRowBandSize w:val="1"/>
      <w:tblStyleColBandSize w:val="1"/>
    </w:tblPr>
  </w:style>
  <w:style w:type="table" w:customStyle="1" w:styleId="afffffffc">
    <w:basedOn w:val="TableNormal1"/>
    <w:rPr>
      <w:rFonts w:ascii="Calibri" w:eastAsia="Calibri" w:hAnsi="Calibri" w:cs="Calibri"/>
    </w:rPr>
    <w:tblPr>
      <w:tblStyleRowBandSize w:val="1"/>
      <w:tblStyleColBandSize w:val="1"/>
    </w:tblPr>
  </w:style>
  <w:style w:type="table" w:customStyle="1" w:styleId="afffffffd">
    <w:basedOn w:val="TableNormal1"/>
    <w:rPr>
      <w:rFonts w:ascii="Calibri" w:eastAsia="Calibri" w:hAnsi="Calibri" w:cs="Calibri"/>
    </w:rPr>
    <w:tblPr>
      <w:tblStyleRowBandSize w:val="1"/>
      <w:tblStyleColBandSize w:val="1"/>
    </w:tblPr>
  </w:style>
  <w:style w:type="table" w:customStyle="1" w:styleId="afffffffe">
    <w:basedOn w:val="TableNormal1"/>
    <w:rPr>
      <w:rFonts w:ascii="Calibri" w:eastAsia="Calibri" w:hAnsi="Calibri" w:cs="Calibri"/>
    </w:rPr>
    <w:tblPr>
      <w:tblStyleRowBandSize w:val="1"/>
      <w:tblStyleColBandSize w:val="1"/>
    </w:tblPr>
  </w:style>
  <w:style w:type="table" w:customStyle="1" w:styleId="affffffff">
    <w:basedOn w:val="TableNormal1"/>
    <w:rPr>
      <w:rFonts w:ascii="Calibri" w:eastAsia="Calibri" w:hAnsi="Calibri" w:cs="Calibri"/>
    </w:rPr>
    <w:tblPr>
      <w:tblStyleRowBandSize w:val="1"/>
      <w:tblStyleColBandSize w:val="1"/>
    </w:tblPr>
  </w:style>
  <w:style w:type="table" w:customStyle="1" w:styleId="affffffff0">
    <w:basedOn w:val="TableNormal1"/>
    <w:rPr>
      <w:rFonts w:ascii="Calibri" w:eastAsia="Calibri" w:hAnsi="Calibri" w:cs="Calibri"/>
    </w:rPr>
    <w:tblPr>
      <w:tblStyleRowBandSize w:val="1"/>
      <w:tblStyleColBandSize w:val="1"/>
    </w:tblPr>
  </w:style>
  <w:style w:type="table" w:customStyle="1" w:styleId="affffffff1">
    <w:basedOn w:val="TableNormal1"/>
    <w:rPr>
      <w:rFonts w:ascii="Calibri" w:eastAsia="Calibri" w:hAnsi="Calibri" w:cs="Calibri"/>
    </w:rPr>
    <w:tblPr>
      <w:tblStyleRowBandSize w:val="1"/>
      <w:tblStyleColBandSize w:val="1"/>
    </w:tblPr>
  </w:style>
  <w:style w:type="table" w:customStyle="1" w:styleId="affffffff2">
    <w:basedOn w:val="TableNormal1"/>
    <w:rPr>
      <w:rFonts w:ascii="Calibri" w:eastAsia="Calibri" w:hAnsi="Calibri" w:cs="Calibri"/>
    </w:rPr>
    <w:tblPr>
      <w:tblStyleRowBandSize w:val="1"/>
      <w:tblStyleColBandSize w:val="1"/>
    </w:tblPr>
  </w:style>
  <w:style w:type="table" w:customStyle="1" w:styleId="affffffff3">
    <w:basedOn w:val="TableNormal1"/>
    <w:rPr>
      <w:rFonts w:ascii="Calibri" w:eastAsia="Calibri" w:hAnsi="Calibri" w:cs="Calibri"/>
    </w:rPr>
    <w:tblPr>
      <w:tblStyleRowBandSize w:val="1"/>
      <w:tblStyleColBandSize w:val="1"/>
    </w:tblPr>
  </w:style>
  <w:style w:type="table" w:customStyle="1" w:styleId="affffffff4">
    <w:basedOn w:val="TableNormal1"/>
    <w:rPr>
      <w:rFonts w:ascii="Calibri" w:eastAsia="Calibri" w:hAnsi="Calibri" w:cs="Calibri"/>
    </w:rPr>
    <w:tblPr>
      <w:tblStyleRowBandSize w:val="1"/>
      <w:tblStyleColBandSize w:val="1"/>
    </w:tblPr>
  </w:style>
  <w:style w:type="table" w:customStyle="1" w:styleId="affffffff5">
    <w:basedOn w:val="TableNormal1"/>
    <w:rPr>
      <w:rFonts w:ascii="Calibri" w:eastAsia="Calibri" w:hAnsi="Calibri" w:cs="Calibri"/>
    </w:rPr>
    <w:tblPr>
      <w:tblStyleRowBandSize w:val="1"/>
      <w:tblStyleColBandSize w:val="1"/>
    </w:tblPr>
  </w:style>
  <w:style w:type="table" w:customStyle="1" w:styleId="affffffff6">
    <w:basedOn w:val="TableNormal1"/>
    <w:rPr>
      <w:rFonts w:ascii="Calibri" w:eastAsia="Calibri" w:hAnsi="Calibri" w:cs="Calibri"/>
    </w:rPr>
    <w:tblPr>
      <w:tblStyleRowBandSize w:val="1"/>
      <w:tblStyleColBandSize w:val="1"/>
    </w:tblPr>
  </w:style>
  <w:style w:type="table" w:customStyle="1" w:styleId="affffffff7">
    <w:basedOn w:val="TableNormal1"/>
    <w:rPr>
      <w:rFonts w:ascii="Calibri" w:eastAsia="Calibri" w:hAnsi="Calibri" w:cs="Calibri"/>
    </w:rPr>
    <w:tblPr>
      <w:tblStyleRowBandSize w:val="1"/>
      <w:tblStyleColBandSize w:val="1"/>
    </w:tblPr>
  </w:style>
  <w:style w:type="table" w:customStyle="1" w:styleId="affffffff8">
    <w:basedOn w:val="TableNormal1"/>
    <w:rPr>
      <w:rFonts w:ascii="Calibri" w:eastAsia="Calibri" w:hAnsi="Calibri" w:cs="Calibri"/>
    </w:rPr>
    <w:tblPr>
      <w:tblStyleRowBandSize w:val="1"/>
      <w:tblStyleColBandSize w:val="1"/>
    </w:tblPr>
  </w:style>
  <w:style w:type="table" w:customStyle="1" w:styleId="affffffff9">
    <w:basedOn w:val="TableNormal1"/>
    <w:rPr>
      <w:rFonts w:ascii="Calibri" w:eastAsia="Calibri" w:hAnsi="Calibri" w:cs="Calibri"/>
    </w:rPr>
    <w:tblPr>
      <w:tblStyleRowBandSize w:val="1"/>
      <w:tblStyleColBandSize w:val="1"/>
    </w:tblPr>
  </w:style>
  <w:style w:type="table" w:customStyle="1" w:styleId="affffffffa">
    <w:basedOn w:val="TableNormal1"/>
    <w:rPr>
      <w:rFonts w:ascii="Calibri" w:eastAsia="Calibri" w:hAnsi="Calibri" w:cs="Calibri"/>
    </w:rPr>
    <w:tblPr>
      <w:tblStyleRowBandSize w:val="1"/>
      <w:tblStyleColBandSize w:val="1"/>
    </w:tblPr>
  </w:style>
  <w:style w:type="table" w:customStyle="1" w:styleId="affffffffb">
    <w:basedOn w:val="TableNormal1"/>
    <w:tblPr>
      <w:tblStyleRowBandSize w:val="1"/>
      <w:tblStyleColBandSize w:val="1"/>
    </w:tblPr>
  </w:style>
  <w:style w:type="table" w:customStyle="1" w:styleId="affffffffc">
    <w:basedOn w:val="TableNormal1"/>
    <w:tblPr>
      <w:tblStyleRowBandSize w:val="1"/>
      <w:tblStyleColBandSize w:val="1"/>
    </w:tblPr>
  </w:style>
  <w:style w:type="table" w:customStyle="1" w:styleId="affffffffd">
    <w:basedOn w:val="TableNormal1"/>
    <w:rPr>
      <w:rFonts w:ascii="Calibri" w:eastAsia="Calibri" w:hAnsi="Calibri" w:cs="Calibri"/>
    </w:rPr>
    <w:tblPr>
      <w:tblStyleRowBandSize w:val="1"/>
      <w:tblStyleColBandSize w:val="1"/>
    </w:tblPr>
  </w:style>
  <w:style w:type="table" w:customStyle="1" w:styleId="affffffffe">
    <w:basedOn w:val="TableNormal1"/>
    <w:rPr>
      <w:rFonts w:ascii="Calibri" w:eastAsia="Calibri" w:hAnsi="Calibri" w:cs="Calibri"/>
    </w:rPr>
    <w:tblPr>
      <w:tblStyleRowBandSize w:val="1"/>
      <w:tblStyleColBandSize w:val="1"/>
    </w:tblPr>
  </w:style>
  <w:style w:type="table" w:customStyle="1" w:styleId="afffffffff">
    <w:basedOn w:val="TableNormal1"/>
    <w:rPr>
      <w:rFonts w:ascii="Calibri" w:eastAsia="Calibri" w:hAnsi="Calibri" w:cs="Calibri"/>
    </w:rPr>
    <w:tblPr>
      <w:tblStyleRowBandSize w:val="1"/>
      <w:tblStyleColBandSize w:val="1"/>
    </w:tblPr>
  </w:style>
  <w:style w:type="table" w:customStyle="1" w:styleId="afffffffff0">
    <w:basedOn w:val="TableNormal1"/>
    <w:rPr>
      <w:rFonts w:ascii="Calibri" w:eastAsia="Calibri" w:hAnsi="Calibri" w:cs="Calibri"/>
    </w:rPr>
    <w:tblPr>
      <w:tblStyleRowBandSize w:val="1"/>
      <w:tblStyleColBandSize w:val="1"/>
    </w:tblPr>
  </w:style>
  <w:style w:type="table" w:customStyle="1" w:styleId="afffffffff1">
    <w:basedOn w:val="TableNormal1"/>
    <w:rPr>
      <w:rFonts w:ascii="Calibri" w:eastAsia="Calibri" w:hAnsi="Calibri" w:cs="Calibri"/>
    </w:rPr>
    <w:tblPr>
      <w:tblStyleRowBandSize w:val="1"/>
      <w:tblStyleColBandSize w:val="1"/>
    </w:tblPr>
  </w:style>
  <w:style w:type="table" w:customStyle="1" w:styleId="afffffffff2">
    <w:basedOn w:val="TableNormal1"/>
    <w:rPr>
      <w:rFonts w:ascii="Calibri" w:eastAsia="Calibri" w:hAnsi="Calibri" w:cs="Calibri"/>
    </w:rPr>
    <w:tblPr>
      <w:tblStyleRowBandSize w:val="1"/>
      <w:tblStyleColBandSize w:val="1"/>
    </w:tblPr>
  </w:style>
  <w:style w:type="table" w:customStyle="1" w:styleId="afffffffff3">
    <w:basedOn w:val="TableNormal1"/>
    <w:rPr>
      <w:rFonts w:ascii="Calibri" w:eastAsia="Calibri" w:hAnsi="Calibri" w:cs="Calibri"/>
    </w:rPr>
    <w:tblPr>
      <w:tblStyleRowBandSize w:val="1"/>
      <w:tblStyleColBandSize w:val="1"/>
      <w:tblCellMar>
        <w:left w:w="115" w:type="dxa"/>
        <w:right w:w="115" w:type="dxa"/>
      </w:tblCellMar>
    </w:tblPr>
  </w:style>
  <w:style w:type="table" w:customStyle="1" w:styleId="afffffffff4">
    <w:basedOn w:val="TableNormal1"/>
    <w:rPr>
      <w:rFonts w:ascii="Calibri" w:eastAsia="Calibri" w:hAnsi="Calibri" w:cs="Calibri"/>
    </w:rPr>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wp/XxEIMQNY0me5tjOU/ToKp3Q==">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236</Pages>
  <Words>92936</Words>
  <Characters>511154</Characters>
  <Application>Microsoft Office Word</Application>
  <DocSecurity>0</DocSecurity>
  <Lines>4259</Lines>
  <Paragraphs>1205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602885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MORRISON TARQUINO DAZA</cp:lastModifiedBy>
  <cp:revision>2</cp:revision>
  <dcterms:created xsi:type="dcterms:W3CDTF">2025-11-26T22:40:00Z</dcterms:created>
  <dcterms:modified xsi:type="dcterms:W3CDTF">2025-11-26T22:40:00Z</dcterms:modified>
</cp:coreProperties>
</file>